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left"/>
        <w:rPr>
          <w:color w:val="000000"/>
          <w:highlight w:val="none"/>
        </w:rPr>
      </w:pPr>
      <w:r>
        <w:rPr>
          <w:color w:val="000000"/>
          <w:highlight w:val="none"/>
        </w:rPr>
        <w:t xml:space="preserve"> </w:t>
      </w:r>
      <w:r/>
    </w:p>
    <w:p>
      <w:pPr>
        <w:pStyle w:val="822"/>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Pr>
          <w:color w:val="000000"/>
          <w:highlight w:val="none"/>
        </w:rPr>
      </w:r>
      <w:r/>
    </w:p>
    <w:p>
      <w:pPr>
        <w:pStyle w:val="822"/>
        <w:rPr>
          <w:color w:val="000000"/>
          <w:highlight w:val="none"/>
        </w:rPr>
      </w:pPr>
      <w:r>
        <w:rPr>
          <w:color w:val="000000"/>
          <w:highlight w:val="none"/>
        </w:rPr>
      </w:r>
      <w:r/>
    </w:p>
    <w:p>
      <w:pPr>
        <w:pStyle w:val="822"/>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r>
      <w:r/>
    </w:p>
    <w:p>
      <w:pPr>
        <w:pStyle w:val="822"/>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rPr>
          <w:rFonts w:hint="eastAsia" w:ascii="Arial" w:hAnsi="Arial" w:eastAsia="黑体" w:cs="黑体"/>
          <w:b/>
          <w:color w:val="000000"/>
          <w:sz w:val="84"/>
          <w:szCs w:val="24"/>
          <w:highlight w:val="none"/>
          <w:lang w:bidi="ar"/>
        </w:rPr>
      </w:r>
      <w:r/>
    </w:p>
    <w:p>
      <w:pPr>
        <w:pStyle w:val="822"/>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822"/>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822"/>
        <w:ind w:firstLine="1508"/>
        <w:jc w:val="left"/>
        <w:keepLines w:val="0"/>
        <w:keepNext w:val="0"/>
        <w:pageBreakBefore w:val="0"/>
        <w:spacing w:line="360" w:lineRule="auto"/>
        <w:widowControl w:val="off"/>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项目名称：泗洪县（2026-2028年度）“一住两公”地块土壤污染状况调查服务采购项目</w:t>
      </w:r>
      <w:r>
        <w:rPr>
          <w:rFonts w:hint="eastAsia"/>
          <w:b/>
          <w:color w:val="000000"/>
          <w:sz w:val="30"/>
          <w:szCs w:val="30"/>
          <w:highlight w:val="none"/>
        </w:rPr>
      </w:r>
      <w:r/>
    </w:p>
    <w:p>
      <w:pPr>
        <w:pStyle w:val="822"/>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822"/>
        <w:ind w:firstLine="1506"/>
        <w:rPr>
          <w:rFonts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rPr>
        <w:t xml:space="preserve">JSZC-321324-PHZX-</w:t>
      </w:r>
      <w:r>
        <w:rPr>
          <w:rFonts w:hint="eastAsia" w:ascii="Times New Roman" w:hAnsi="Times New Roman" w:cs="宋体"/>
          <w:b/>
          <w:color w:val="000000"/>
          <w:sz w:val="30"/>
          <w:szCs w:val="30"/>
          <w:highlight w:val="none"/>
          <w:lang w:val="en-US" w:eastAsia="zh-CN"/>
        </w:rPr>
        <w:t xml:space="preserve">G</w:t>
      </w:r>
      <w:r>
        <w:rPr>
          <w:rFonts w:hint="eastAsia" w:ascii="Times New Roman" w:hAnsi="Times New Roman" w:cs="宋体"/>
          <w:b/>
          <w:color w:val="000000"/>
          <w:sz w:val="30"/>
          <w:szCs w:val="30"/>
          <w:highlight w:val="none"/>
        </w:rPr>
        <w:t xml:space="preserve">202</w:t>
      </w:r>
      <w:r>
        <w:rPr>
          <w:rFonts w:hint="eastAsia" w:ascii="Times New Roman" w:hAnsi="Times New Roman" w:cs="宋体"/>
          <w:b/>
          <w:color w:val="000000"/>
          <w:sz w:val="30"/>
          <w:szCs w:val="30"/>
          <w:highlight w:val="none"/>
          <w:lang w:val="en-US" w:eastAsia="zh-CN"/>
        </w:rPr>
        <w:t xml:space="preserve">6</w:t>
      </w:r>
      <w:r>
        <w:rPr>
          <w:rFonts w:hint="eastAsia" w:ascii="Times New Roman" w:hAnsi="Times New Roman" w:cs="宋体"/>
          <w:b/>
          <w:color w:val="000000"/>
          <w:sz w:val="30"/>
          <w:szCs w:val="30"/>
          <w:highlight w:val="none"/>
        </w:rPr>
        <w:t xml:space="preserve">-</w:t>
      </w:r>
      <w:r>
        <w:rPr>
          <w:rFonts w:hint="eastAsia" w:ascii="Times New Roman" w:hAnsi="Times New Roman" w:cs="宋体"/>
          <w:b/>
          <w:color w:val="000000"/>
          <w:sz w:val="30"/>
          <w:szCs w:val="30"/>
          <w:highlight w:val="none"/>
          <w:lang w:val="en-US" w:eastAsia="zh-CN"/>
        </w:rPr>
        <w:t xml:space="preserve">0009</w:t>
      </w:r>
      <w:r>
        <w:rPr>
          <w:rFonts w:ascii="Times New Roman" w:hAnsi="Times New Roman" w:eastAsia="宋体" w:cs="宋体"/>
          <w:b/>
          <w:color w:val="000000"/>
          <w:sz w:val="30"/>
          <w:szCs w:val="30"/>
          <w:highlight w:val="none"/>
          <w:lang w:val="en-US" w:eastAsia="zh-CN" w:bidi="ar"/>
        </w:rPr>
      </w:r>
      <w:r/>
    </w:p>
    <w:p>
      <w:pPr>
        <w:pStyle w:val="822"/>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pStyle w:val="822"/>
        <w:ind w:firstLine="1205"/>
        <w:keepLines w:val="0"/>
        <w:keepNext w:val="0"/>
        <w:pageBreakBefore w:val="0"/>
        <w:spacing w:line="360" w:lineRule="auto"/>
        <w:widowControl w:val="off"/>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本项目专</w:t>
      </w:r>
      <w:r>
        <w:rPr>
          <w:rFonts w:hint="eastAsia" w:ascii="Times New Roman" w:hAnsi="Times New Roman"/>
          <w:b/>
          <w:caps w:val="0"/>
          <w:color w:val="000000"/>
          <w:sz w:val="30"/>
          <w:szCs w:val="30"/>
          <w:highlight w:val="none"/>
        </w:rPr>
        <w:t xml:space="preserve">门面向中小企业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rPr>
      </w:r>
      <w:r/>
    </w:p>
    <w:p>
      <w:pPr>
        <w:pStyle w:val="822"/>
        <w:ind w:left="2800" w:hanging="2800"/>
        <w:rPr>
          <w:b/>
          <w:color w:val="000000"/>
          <w:sz w:val="28"/>
          <w:szCs w:val="28"/>
          <w:highlight w:val="none"/>
        </w:rPr>
      </w:pPr>
      <w:r>
        <w:rPr>
          <w:b/>
          <w:color w:val="000000"/>
          <w:sz w:val="28"/>
          <w:szCs w:val="28"/>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2"/>
              <w:jc w:val="left"/>
              <w:spacing w:line="500" w:lineRule="exact"/>
              <w:rPr>
                <w:rFonts w:ascii="仿宋" w:hAnsi="仿宋" w:eastAsia="仿宋" w:cs="仿宋"/>
                <w:color w:val="000000"/>
                <w:sz w:val="24"/>
                <w:szCs w:val="24"/>
                <w:highlight w:val="none"/>
              </w:rPr>
              <w:framePr w:vAnchor="text" w:hAnchor="page" w:x="2413" w:y="466"/>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2"/>
              <w:jc w:val="left"/>
              <w:spacing w:line="500" w:lineRule="exact"/>
              <w:rPr>
                <w:rFonts w:hint="eastAsia" w:ascii="仿宋" w:hAnsi="仿宋" w:cs="仿宋"/>
                <w:color w:val="000000"/>
                <w:sz w:val="24"/>
                <w:szCs w:val="24"/>
                <w:highlight w:val="none"/>
              </w:rPr>
              <w:framePr w:vAnchor="text" w:hAnchor="page" w:x="2413" w:y="466"/>
            </w:pPr>
            <w:r>
              <w:rPr>
                <w:rFonts w:hint="eastAsia" w:ascii="仿宋" w:hAnsi="仿宋" w:cs="仿宋"/>
                <w:color w:val="000000"/>
                <w:sz w:val="24"/>
                <w:szCs w:val="24"/>
                <w:highlight w:val="none"/>
              </w:rPr>
              <w:t xml:space="preserve">泗洪县自然资源和规划局</w:t>
            </w:r>
            <w:r>
              <w:rPr>
                <w:rFonts w:hint="eastAsia" w:ascii="仿宋" w:hAnsi="仿宋" w:cs="仿宋"/>
                <w:color w:val="000000"/>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2"/>
              <w:jc w:val="left"/>
              <w:spacing w:line="500" w:lineRule="exact"/>
              <w:rPr>
                <w:rFonts w:hint="eastAsia" w:ascii="Times New Roman" w:hAnsi="Times New Roman"/>
                <w:b/>
                <w:bCs/>
                <w:color w:val="000000"/>
                <w:spacing w:val="45"/>
                <w:sz w:val="32"/>
                <w:szCs w:val="24"/>
                <w:highlight w:val="none"/>
              </w:rPr>
              <w:framePr w:vAnchor="text" w:hAnchor="page" w:x="2413" w:y="466"/>
            </w:pPr>
            <w:r>
              <w:rPr>
                <w:rFonts w:hint="eastAsia" w:ascii="Times New Roman" w:hAnsi="Times New Roman"/>
                <w:b/>
                <w:bCs/>
                <w:color w:val="000000"/>
                <w:sz w:val="32"/>
                <w:szCs w:val="24"/>
                <w:highlight w:val="none"/>
              </w:rPr>
              <w:t xml:space="preserve">采购代理机构：</w:t>
            </w:r>
            <w:r>
              <w:rPr>
                <w:rFonts w:hint="eastAsia" w:ascii="Times New Roman" w:hAnsi="Times New Roman"/>
                <w:b/>
                <w:bCs/>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2"/>
              <w:jc w:val="left"/>
              <w:spacing w:line="500" w:lineRule="exact"/>
              <w:rPr>
                <w:rFonts w:hint="eastAsia" w:ascii="仿宋" w:hAnsi="仿宋" w:cs="仿宋"/>
                <w:color w:val="000000"/>
                <w:sz w:val="24"/>
                <w:szCs w:val="24"/>
                <w:highlight w:val="yellow"/>
              </w:rPr>
              <w:framePr w:vAnchor="text" w:hAnchor="page" w:x="2413" w:y="466"/>
            </w:pPr>
            <w:r>
              <w:rPr>
                <w:rFonts w:hint="eastAsia" w:ascii="仿宋" w:hAnsi="仿宋" w:cs="仿宋"/>
                <w:color w:val="000000"/>
                <w:sz w:val="24"/>
                <w:szCs w:val="24"/>
                <w:highlight w:val="none"/>
                <w:lang w:val="en-US" w:eastAsia="zh-CN"/>
              </w:rPr>
              <w:t xml:space="preserve">江苏普和建设项目咨询有限公司</w:t>
            </w:r>
            <w:r>
              <w:rPr>
                <w:rFonts w:hint="eastAsia" w:ascii="仿宋" w:hAnsi="仿宋" w:cs="仿宋"/>
                <w:color w:val="000000"/>
                <w:sz w:val="24"/>
                <w:szCs w:val="24"/>
                <w:highlight w:val="yellow"/>
              </w:rPr>
            </w:r>
            <w:r/>
          </w:p>
        </w:tc>
      </w:tr>
    </w:tbl>
    <w:p>
      <w:pPr>
        <w:pStyle w:val="822"/>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2"/>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rPr>
          <w:rFonts w:ascii="Arial" w:hAnsi="Arial"/>
          <w:b/>
          <w:color w:val="000000"/>
          <w:sz w:val="32"/>
          <w:szCs w:val="24"/>
          <w:highlight w:val="none"/>
        </w:rPr>
      </w:r>
      <w:r/>
    </w:p>
    <w:p>
      <w:pPr>
        <w:pStyle w:val="822"/>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 </w:t>
      </w:r>
      <w:r>
        <w:rPr>
          <w:rFonts w:hint="eastAsia" w:ascii="Arial" w:hAnsi="Arial" w:cs="宋体"/>
          <w:b/>
          <w:color w:val="000000"/>
          <w:sz w:val="32"/>
          <w:szCs w:val="24"/>
          <w:highlight w:val="none"/>
          <w:lang w:val="en-US" w:eastAsia="zh-CN" w:bidi="ar"/>
        </w:rPr>
        <w:t xml:space="preserve">8</w:t>
      </w:r>
      <w:r>
        <w:rPr>
          <w:rFonts w:hint="eastAsia" w:ascii="Arial" w:hAnsi="Arial" w:cs="宋体"/>
          <w:b/>
          <w:color w:val="000000"/>
          <w:sz w:val="32"/>
          <w:szCs w:val="24"/>
          <w:highlight w:val="none"/>
          <w:lang w:bidi="ar"/>
        </w:rPr>
        <w:t xml:space="preserve">月 </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 日</w:t>
      </w:r>
      <w:r>
        <w:rPr>
          <w:rFonts w:ascii="Arial" w:hAnsi="Arial"/>
          <w:b/>
          <w:color w:val="000000"/>
          <w:sz w:val="32"/>
          <w:szCs w:val="24"/>
          <w:highlight w:val="none"/>
        </w:rPr>
      </w:r>
      <w:r/>
    </w:p>
    <w:p>
      <w:pPr>
        <w:pStyle w:val="822"/>
        <w:jc w:val="center"/>
        <w:keepLines/>
        <w:keepNext/>
        <w:pageBreakBefore/>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880"/>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80"/>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80"/>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80"/>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80"/>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80"/>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color w:val="000000"/>
          <w:highlight w:val="none"/>
        </w:rPr>
      </w:r>
      <w:r/>
    </w:p>
    <w:p>
      <w:pPr>
        <w:pStyle w:val="822"/>
        <w:rPr>
          <w:color w:val="000000"/>
          <w:highlight w:val="none"/>
        </w:rPr>
      </w:pPr>
      <w:r>
        <w:rPr>
          <w:color w:val="000000"/>
          <w:highlight w:val="none"/>
        </w:rPr>
        <w:fldChar w:fldCharType="end"/>
      </w:r>
      <w:r>
        <w:rPr>
          <w:color w:val="000000"/>
          <w:highlight w:val="none"/>
        </w:rPr>
      </w:r>
      <w:r/>
    </w:p>
    <w:p>
      <w:pPr>
        <w:pStyle w:val="822"/>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color w:val="000000"/>
          <w:sz w:val="44"/>
          <w:szCs w:val="44"/>
          <w:highlight w:val="none"/>
        </w:rPr>
      </w:r>
      <w:r/>
    </w:p>
    <w:p>
      <w:pPr>
        <w:pStyle w:val="823"/>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Pr>
          <w:rFonts w:hint="eastAsia" w:eastAsia="黑体"/>
          <w:color w:val="000000"/>
          <w:sz w:val="44"/>
          <w:highlight w:val="none"/>
        </w:rPr>
      </w:r>
      <w:r/>
    </w:p>
    <w:p>
      <w:pPr>
        <w:pStyle w:val="822"/>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泗洪县自然资源和规划局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rPr>
        <w:t xml:space="preserve">江苏普和建设项目咨询有限公司</w:t>
      </w:r>
      <w:r>
        <w:rPr>
          <w:rFonts w:hint="eastAsia" w:ascii="Times New Roman" w:hAnsi="Times New Roman" w:cs="方正仿宋_GBK"/>
          <w:color w:val="000000"/>
          <w:sz w:val="24"/>
          <w:szCs w:val="24"/>
          <w:highlight w:val="none"/>
        </w:rPr>
        <w:t xml:space="preserve">就</w:t>
      </w:r>
      <w:r>
        <w:rPr>
          <w:rFonts w:hint="eastAsia" w:ascii="Times New Roman" w:hAnsi="Times New Roman" w:cs="方正仿宋_GBK"/>
          <w:color w:val="000000"/>
          <w:sz w:val="24"/>
          <w:szCs w:val="24"/>
          <w:highlight w:val="none"/>
          <w:u w:val="single"/>
        </w:rPr>
        <w:t xml:space="preserve">泗洪县（2026-2028年度）“一住两公”地块土壤污染状况调查服务采购项目</w:t>
      </w:r>
      <w:r>
        <w:rPr>
          <w:rFonts w:hint="eastAsia" w:ascii="宋体" w:hAnsi="宋体"/>
          <w:color w:val="000000"/>
          <w:sz w:val="24"/>
          <w:szCs w:val="24"/>
          <w:highlight w:val="none"/>
        </w:rPr>
        <w:t xml:space="preserve">(JSZC-321324-PHZX-G2026-</w:t>
      </w:r>
      <w:r>
        <w:rPr>
          <w:rFonts w:hint="eastAsia" w:ascii="宋体" w:hAnsi="宋体"/>
          <w:color w:val="000000"/>
          <w:sz w:val="24"/>
          <w:szCs w:val="24"/>
          <w:highlight w:val="none"/>
          <w:lang w:val="en-US" w:eastAsia="zh-CN"/>
        </w:rPr>
        <w:t xml:space="preserve">0009</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rPr>
          <w:rFonts w:ascii="Times New Roman" w:hAnsi="Times New Roman" w:cs="方正仿宋_GBK"/>
          <w:color w:val="000000"/>
          <w:sz w:val="24"/>
          <w:szCs w:val="24"/>
          <w:highlight w:val="none"/>
        </w:rPr>
      </w:r>
      <w:r/>
    </w:p>
    <w:p>
      <w:pPr>
        <w:pStyle w:val="822"/>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rPr>
          <w:rFonts w:ascii="Times New Roman" w:hAnsi="Times New Roman" w:cs="方正仿宋_GBK"/>
          <w:color w:val="000000"/>
          <w:sz w:val="24"/>
          <w:szCs w:val="24"/>
          <w:highlight w:val="none"/>
        </w:rPr>
      </w:r>
      <w:r/>
    </w:p>
    <w:p>
      <w:pPr>
        <w:pStyle w:val="822"/>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泗洪县（2026-2028年度）“一住两公”地块土壤污染状况调查服务采购项目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 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 31</w:t>
      </w:r>
      <w:r>
        <w:rPr>
          <w:rFonts w:hint="eastAsia" w:ascii="宋体" w:hAnsi="宋体"/>
          <w:bCs/>
          <w:color w:val="000000"/>
          <w:sz w:val="24"/>
          <w:szCs w:val="24"/>
          <w:highlight w:val="none"/>
          <w:u w:val="single"/>
        </w:rPr>
        <w:t xml:space="preserve">日09点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rPr>
          <w:rFonts w:ascii="方正仿宋_GBK" w:hAnsi="方正仿宋_GBK" w:eastAsia="方正仿宋_GBK" w:cs="方正仿宋_GBK"/>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7" w:name="_Toc28359079"/>
      <w:r/>
      <w:bookmarkStart w:id="8" w:name="_Toc38985263"/>
      <w:r/>
      <w:bookmarkStart w:id="9" w:name="_Toc28359002"/>
      <w:r/>
      <w:bookmarkStart w:id="10" w:name="_Toc35393621"/>
      <w:r/>
      <w:bookmarkStart w:id="11" w:name="_Toc2584"/>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Pr>
          <w:rFonts w:hint="eastAsia" w:eastAsia="宋体" w:cs="Arial"/>
          <w:bCs/>
          <w:color w:val="000000"/>
          <w:szCs w:val="22"/>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1.项目编号：JSZC-321324-PHZX-G2026-  </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泗洪县（2026-2028年度）“一住两公”地块土壤污染状况调查服务采购项目</w:t>
      </w:r>
      <w:r>
        <w:rPr>
          <w:rFonts w:hint="eastAsia" w:ascii="Times New Roman" w:hAnsi="Times New Roman" w:cs="仿宋"/>
          <w:color w:val="000000"/>
          <w:sz w:val="24"/>
          <w:szCs w:val="24"/>
          <w:highlight w:val="none"/>
        </w:rPr>
      </w:r>
      <w:r/>
    </w:p>
    <w:p>
      <w:pPr>
        <w:pStyle w:val="822"/>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highlight w:val="none"/>
          <w:lang w:val="en-US" w:eastAsia="zh-CN"/>
        </w:rPr>
        <w:t xml:space="preserve">288万元</w:t>
      </w:r>
      <w:r>
        <w:rPr>
          <w:rFonts w:ascii="仿宋" w:hAnsi="仿宋" w:eastAsia="宋体"/>
          <w:color w:val="000000"/>
          <w:sz w:val="24"/>
          <w:szCs w:val="24"/>
          <w:highlight w:val="none"/>
          <w:lang w:val="en-US" w:eastAsia="zh-CN"/>
        </w:rPr>
      </w:r>
      <w:r/>
    </w:p>
    <w:p>
      <w:pPr>
        <w:pStyle w:val="822"/>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4.本项目设定最高限价</w:t>
      </w:r>
      <w:r>
        <w:rPr>
          <w:rFonts w:hint="eastAsia" w:ascii="仿宋_GB2312"/>
          <w:color w:val="000000"/>
          <w:sz w:val="24"/>
          <w:highlight w:val="none"/>
        </w:rPr>
        <w:t xml:space="preserve">：</w:t>
      </w:r>
      <w:bookmarkStart w:id="14" w:name="EB6c1f3d39c6914ae1bada8ccaa777b37a"/>
      <w:r>
        <w:rPr>
          <w:rFonts w:hint="eastAsia" w:ascii="仿宋_GB2312"/>
          <w:color w:val="000000"/>
          <w:sz w:val="24"/>
          <w:highlight w:val="none"/>
          <w:lang w:val="en-US" w:eastAsia="zh-CN"/>
        </w:rPr>
        <w:t xml:space="preserve">960</w:t>
      </w:r>
      <w:r>
        <w:rPr>
          <w:rFonts w:hint="eastAsia" w:ascii="仿宋_GB2312"/>
          <w:color w:val="000000"/>
          <w:sz w:val="24"/>
          <w:highlight w:val="none"/>
        </w:rPr>
        <w:t xml:space="preserve">元/亩，本项目采用单价报价，报价不得高于此最高限价，否则作无效标处理。</w:t>
      </w:r>
      <w:r>
        <w:rPr>
          <w:rFonts w:hint="eastAsia" w:ascii="仿宋" w:hAnsi="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bookmarkEnd w:id="14"/>
      <w:r>
        <w:rPr>
          <w:rFonts w:hint="eastAsia" w:ascii="Times New Roman" w:hAnsi="Times New Roman" w:cs="仿宋"/>
          <w:color w:val="000000"/>
          <w:sz w:val="24"/>
          <w:szCs w:val="24"/>
          <w:highlight w:val="none"/>
        </w:rPr>
        <w:t xml:space="preserve">5.采购需求（简介）：本项目是针对全县辖区内2026年-2028年拟供应的“一住两公”（住宅用地、公共管理与公共服务用地）地块进行土壤污染状况调查</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拟通过公开招标方式确定一家第三方技术服务机构。调查面积约3000亩（以最终委托完成调查的面积为准）。</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lang w:val="en-US" w:eastAsia="zh-CN"/>
        </w:rPr>
        <w:t xml:space="preserve">具体需求详见采购文件</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宋体" w:hAnsi="宋体" w:eastAsia="宋体" w:cs="宋体"/>
          <w:sz w:val="24"/>
          <w:szCs w:val="24"/>
          <w:highlight w:val="none"/>
          <w:shd w:val="clear" w:color="auto" w:fill="ffffff"/>
        </w:rPr>
        <w:t xml:space="preserve">自合同签订之日起</w:t>
      </w:r>
      <w:r>
        <w:rPr>
          <w:rFonts w:hint="eastAsia" w:ascii="宋体" w:hAnsi="宋体" w:eastAsia="宋体" w:cs="宋体"/>
          <w:sz w:val="24"/>
          <w:szCs w:val="24"/>
          <w:highlight w:val="none"/>
          <w:shd w:val="clear" w:color="auto" w:fill="ffffff"/>
          <w:lang w:val="en-US" w:eastAsia="zh-CN"/>
        </w:rPr>
        <w:t xml:space="preserve">两年。</w:t>
      </w:r>
      <w:r>
        <w:rPr>
          <w:rFonts w:hint="eastAsia" w:ascii="Times New Roman" w:hAnsi="Times New Roman" w:eastAsia="宋体" w:cs="仿宋"/>
          <w:color w:val="000000"/>
          <w:sz w:val="24"/>
          <w:szCs w:val="24"/>
          <w:highlight w:val="none"/>
          <w:lang w:val="en-US" w:eastAsia="zh-CN"/>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rPr>
          <w:rFonts w:hint="eastAsia"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15" w:name="_Toc28359003"/>
      <w:r/>
      <w:bookmarkStart w:id="16" w:name="_Toc38985264"/>
      <w:r/>
      <w:bookmarkStart w:id="17" w:name="_Toc27291"/>
      <w:r/>
      <w:bookmarkStart w:id="18" w:name="_Toc28359080"/>
      <w:r/>
      <w:bookmarkStart w:id="19" w:name="_Toc35393622"/>
      <w:r/>
      <w:bookmarkStart w:id="20" w:name="_Toc35393791"/>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Pr>
          <w:rFonts w:hint="eastAsia" w:eastAsia="宋体" w:cs="Arial"/>
          <w:bCs/>
          <w:color w:val="000000"/>
          <w:szCs w:val="22"/>
          <w:highlight w:val="none"/>
        </w:rPr>
      </w:r>
      <w:r/>
    </w:p>
    <w:p>
      <w:pPr>
        <w:pStyle w:val="822"/>
        <w:ind w:firstLine="480"/>
        <w:spacing w:line="480" w:lineRule="exact"/>
        <w:rPr>
          <w:rFonts w:hint="eastAsia" w:ascii="Times New Roman" w:hAnsi="Times New Roman" w:cs="仿宋"/>
          <w:color w:val="000000"/>
          <w:sz w:val="24"/>
          <w:szCs w:val="24"/>
          <w:highlight w:val="none"/>
        </w:rPr>
      </w:pPr>
      <w:r/>
      <w:bookmarkStart w:id="21" w:name="_Toc28359081"/>
      <w:r/>
      <w:bookmarkStart w:id="22" w:name="_Toc35393792"/>
      <w:r/>
      <w:bookmarkStart w:id="23" w:name="_Toc35393623"/>
      <w:r/>
      <w:bookmarkStart w:id="24" w:name="_Toc38985265"/>
      <w:r/>
      <w:bookmarkStart w:id="25" w:name="_Toc28359004"/>
      <w:r>
        <w:rPr>
          <w:rFonts w:hint="eastAsia" w:ascii="Times New Roman" w:hAnsi="Times New Roman" w:cs="仿宋"/>
          <w:color w:val="000000"/>
          <w:sz w:val="24"/>
          <w:szCs w:val="24"/>
          <w:highlight w:val="none"/>
        </w:rPr>
        <w:t xml:space="preserve">（一）通用资格要求</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宋体" w:hAnsi="宋体" w:eastAsia="宋体" w:cs="宋体"/>
          <w:color w:val="000000"/>
          <w:sz w:val="24"/>
          <w:highlight w:val="none"/>
        </w:rPr>
        <w:t xml:space="preserve">3.投标代理人(授权委托人)必须为本单位正式员工，并在投标文件中提供投标截止日前6个月内由本单位为其缴纳的任意1个月社会养老保险证明。</w:t>
      </w:r>
      <w:r>
        <w:rPr>
          <w:rFonts w:hint="eastAsia" w:ascii="Times New Roman" w:hAnsi="Times New Roman" w:cs="仿宋"/>
          <w:color w:val="000000"/>
          <w:sz w:val="24"/>
          <w:szCs w:val="24"/>
          <w:highlight w:val="none"/>
        </w:rPr>
      </w:r>
      <w:r/>
    </w:p>
    <w:p>
      <w:pPr>
        <w:pStyle w:val="822"/>
        <w:ind w:firstLine="420"/>
        <w:spacing w:line="480" w:lineRule="exact"/>
        <w:rPr>
          <w:rFonts w:hint="eastAsia" w:ascii="Times New Roman" w:hAnsi="Times New Roman" w:cs="仿宋"/>
          <w:color w:val="000000"/>
          <w:sz w:val="24"/>
          <w:szCs w:val="24"/>
          <w:highlight w:val="yellow"/>
        </w:rPr>
      </w:pPr>
      <w:r>
        <w:rPr>
          <w:rFonts w:hint="eastAsia" w:eastAsia="宋体" w:cs="仿宋"/>
          <w:color w:val="000000"/>
          <w:highlight w:val="none"/>
          <w:lang w:val="en-US" w:eastAsia="zh-CN"/>
        </w:rPr>
        <w:t xml:space="preserve">（二）</w:t>
      </w:r>
      <w:r>
        <w:rPr>
          <w:rFonts w:hint="eastAsia" w:ascii="Times New Roman" w:hAnsi="Times New Roman" w:cs="仿宋"/>
          <w:color w:val="000000"/>
          <w:sz w:val="24"/>
          <w:szCs w:val="24"/>
          <w:highlight w:val="none"/>
        </w:rPr>
        <w:t xml:space="preserve">落实政府采购政策需满足的资格要求：</w:t>
      </w:r>
      <w:r>
        <w:rPr>
          <w:rFonts w:hint="eastAsia" w:ascii="宋体" w:hAnsi="宋体" w:eastAsia="宋体" w:cs="宋体"/>
          <w:caps w:val="0"/>
          <w:color w:val="000000"/>
          <w:sz w:val="24"/>
          <w:szCs w:val="24"/>
          <w:highlight w:val="none"/>
          <w:lang w:val="en-US" w:eastAsia="zh-CN"/>
        </w:rPr>
        <w:t xml:space="preserve">本项目</w:t>
      </w:r>
      <w:r>
        <w:rPr>
          <w:rFonts w:hint="eastAsia" w:ascii="宋体" w:hAnsi="宋体" w:eastAsia="宋体" w:cs="宋体"/>
          <w:caps w:val="0"/>
          <w:color w:val="000000"/>
          <w:sz w:val="24"/>
          <w:szCs w:val="24"/>
          <w:highlight w:val="none"/>
        </w:rPr>
        <w:t xml:space="preserve">属于专门面向中小企业采购</w:t>
      </w:r>
      <w:r>
        <w:rPr>
          <w:rFonts w:hint="eastAsia" w:ascii="宋体" w:hAnsi="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投标人</w:t>
      </w:r>
      <w:r>
        <w:rPr>
          <w:rFonts w:hint="eastAsia" w:ascii="宋体" w:hAnsi="宋体" w:eastAsia="宋体" w:cs="宋体"/>
          <w:caps w:val="0"/>
          <w:color w:val="000000"/>
          <w:sz w:val="24"/>
          <w:szCs w:val="24"/>
          <w:highlight w:val="none"/>
          <w:lang w:val="en-US" w:eastAsia="zh-CN"/>
        </w:rPr>
        <w:t xml:space="preserve">须</w:t>
      </w:r>
      <w:r>
        <w:rPr>
          <w:rFonts w:hint="eastAsia" w:ascii="宋体" w:hAnsi="宋体" w:eastAsia="宋体" w:cs="宋体"/>
          <w:caps w:val="0"/>
          <w:color w:val="000000"/>
          <w:sz w:val="24"/>
          <w:szCs w:val="24"/>
          <w:highlight w:val="none"/>
        </w:rPr>
        <w:t xml:space="preserve">为中小微企业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监狱企业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残疾人福利性单位</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须提供《中小企业声明函》或《残疾人福利性单位声明函》或由省级以上监狱管理局、戒毒管理局（含新疆生产建设兵团）出具的属于监狱企业的证明文件。</w:t>
      </w:r>
      <w:r>
        <w:rPr>
          <w:rFonts w:hint="eastAsia" w:ascii="Times New Roman" w:hAnsi="Times New Roman" w:cs="仿宋"/>
          <w:color w:val="000000"/>
          <w:sz w:val="24"/>
          <w:szCs w:val="24"/>
          <w:highlight w:val="yellow"/>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（二）本项目的特定资格要求：无</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Pr>
          <w:rFonts w:hint="eastAsia" w:eastAsia="宋体" w:cs="Arial"/>
          <w:bCs/>
          <w:color w:val="000000"/>
          <w:szCs w:val="22"/>
          <w:highlight w:val="none"/>
        </w:rPr>
      </w:r>
      <w:r/>
    </w:p>
    <w:p>
      <w:pPr>
        <w:pStyle w:val="822"/>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5393624"/>
      <w:r/>
      <w:bookmarkStart w:id="30" w:name="_Toc38985266"/>
      <w:r/>
      <w:bookmarkStart w:id="31" w:name="_Toc35393793"/>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Pr>
          <w:rFonts w:hint="eastAsia"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Pr>
          <w:rFonts w:hint="eastAsia" w:eastAsia="宋体" w:cs="Arial"/>
          <w:bCs/>
          <w:color w:val="000000"/>
          <w:szCs w:val="22"/>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  </w:t>
      </w:r>
      <w:r>
        <w:rPr>
          <w:rFonts w:hint="eastAsia" w:ascii="Times New Roman" w:hAnsi="Times New Roman" w:cs="仿宋"/>
          <w:color w:val="000000"/>
          <w:sz w:val="24"/>
          <w:szCs w:val="24"/>
          <w:highlight w:val="none"/>
        </w:rPr>
        <w:t xml:space="preserve">8月  </w:t>
      </w:r>
      <w:r>
        <w:rPr>
          <w:rFonts w:hint="eastAsia" w:ascii="Times New Roman" w:hAnsi="Times New Roman" w:cs="仿宋"/>
          <w:color w:val="000000"/>
          <w:sz w:val="24"/>
          <w:szCs w:val="24"/>
          <w:highlight w:val="none"/>
        </w:rPr>
        <w:t xml:space="preserve">31日09点00分（北京时间）</w:t>
      </w:r>
      <w:r>
        <w:rPr>
          <w:rFonts w:hint="eastAsia" w:ascii="Times New Roman" w:hAnsi="Times New Roman" w:cs="仿宋"/>
          <w:color w:val="000000"/>
          <w:sz w:val="24"/>
          <w:szCs w:val="24"/>
          <w:highlight w:val="none"/>
        </w:rPr>
      </w:r>
      <w:r/>
    </w:p>
    <w:p>
      <w:pPr>
        <w:pStyle w:val="822"/>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rPr>
          <w:rFonts w:hint="eastAsia"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34" w:name="_Toc35393794"/>
      <w:r/>
      <w:bookmarkStart w:id="35" w:name="_Toc35393625"/>
      <w:r/>
      <w:bookmarkStart w:id="36" w:name="_Toc38985267"/>
      <w:r/>
      <w:bookmarkStart w:id="37" w:name="_Toc28359007"/>
      <w:r/>
      <w:bookmarkStart w:id="38" w:name="_Toc24820"/>
      <w:r/>
      <w:bookmarkStart w:id="39" w:name="_Toc28359084"/>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Pr>
          <w:rFonts w:hint="eastAsia" w:eastAsia="宋体" w:cs="Arial"/>
          <w:bCs/>
          <w:color w:val="000000"/>
          <w:szCs w:val="22"/>
          <w:highlight w:val="none"/>
        </w:rPr>
      </w:r>
      <w:r/>
    </w:p>
    <w:p>
      <w:pPr>
        <w:pStyle w:val="822"/>
        <w:ind w:firstLine="480"/>
        <w:spacing w:line="480" w:lineRule="exact"/>
        <w:rPr>
          <w:rFonts w:hint="eastAsia" w:ascii="Times New Roman" w:hAnsi="Times New Roman" w:cs="仿宋"/>
          <w:color w:val="000000"/>
          <w:sz w:val="24"/>
          <w:szCs w:val="24"/>
          <w:highlight w:val="none"/>
        </w:rPr>
      </w:pPr>
      <w:r/>
      <w:bookmarkStart w:id="40" w:name="_Toc35393626"/>
      <w:r/>
      <w:bookmarkStart w:id="41" w:name="_Toc38985268"/>
      <w:r/>
      <w:bookmarkStart w:id="42"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rPr>
          <w:rFonts w:hint="eastAsia"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Pr>
          <w:rFonts w:hint="eastAsia" w:eastAsia="宋体" w:cs="Arial"/>
          <w:bCs/>
          <w:color w:val="000000"/>
          <w:szCs w:val="22"/>
          <w:highlight w:val="none"/>
        </w:rPr>
      </w:r>
      <w:r/>
    </w:p>
    <w:p>
      <w:pPr>
        <w:pStyle w:val="822"/>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08"/>
      <w:r/>
      <w:bookmarkStart w:id="46" w:name="_Toc35393796"/>
      <w:r/>
      <w:bookmarkStart w:id="47" w:name="_Toc35393627"/>
      <w:r/>
      <w:bookmarkStart w:id="48" w:name="_Toc28359085"/>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822"/>
        <w:ind w:firstLine="480"/>
        <w:spacing w:line="480" w:lineRule="exact"/>
        <w:rPr>
          <w:rFonts w:ascii="Times New Roman" w:hAnsi="Times New Roman" w:cs="仿宋"/>
          <w:color w:val="000000"/>
          <w:sz w:val="24"/>
          <w:szCs w:val="24"/>
          <w:highlight w:val="none"/>
        </w:rPr>
      </w:pPr>
      <w:r/>
      <w:bookmarkEnd w:id="44"/>
      <w:r/>
      <w:bookmarkStart w:id="51" w:name="_Toc29049"/>
      <w:r>
        <w:rPr>
          <w:rFonts w:hint="eastAsia" w:ascii="Times New Roman" w:hAnsi="Times New Roman" w:cs="仿宋"/>
          <w:color w:val="000000"/>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rPr>
          <w:rFonts w:ascii="Times New Roman" w:hAnsi="Times New Roman" w:cs="仿宋"/>
          <w:color w:val="000000"/>
          <w:sz w:val="24"/>
          <w:szCs w:val="24"/>
          <w:highlight w:val="none"/>
        </w:rPr>
      </w:r>
      <w:r/>
    </w:p>
    <w:p>
      <w:pPr>
        <w:pStyle w:val="822"/>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 宿迁地区“苏采云”系统技术支持客服电话：0527-84363067、0519-86722806。</w:t>
      </w:r>
      <w:r>
        <w:rPr>
          <w:rFonts w:ascii="Times New Roman" w:hAnsi="Times New Roman" w:cs="仿宋"/>
          <w:color w:val="000000"/>
          <w:sz w:val="24"/>
          <w:szCs w:val="24"/>
          <w:highlight w:val="none"/>
        </w:rPr>
      </w:r>
      <w:r/>
    </w:p>
    <w:p>
      <w:pPr>
        <w:pStyle w:val="822"/>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 质疑渠道：供应商登录“苏采云”系统“项目质疑申请”模块向采购人提出，质疑处理联系方式详见“采购人信息”；财政部门投诉受理电话：</w:t>
      </w:r>
      <w:r>
        <w:rPr>
          <w:rFonts w:hint="eastAsia" w:ascii="Times New Roman" w:hAnsi="Times New Roman" w:cs="仿宋"/>
          <w:color w:val="000000"/>
          <w:sz w:val="24"/>
          <w:szCs w:val="24"/>
          <w:highlight w:val="none"/>
        </w:rPr>
        <w:t xml:space="preserve">0527-88359233</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824"/>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Pr>
          <w:rFonts w:hint="eastAsia" w:eastAsia="宋体" w:cs="Arial"/>
          <w:bCs/>
          <w:color w:val="000000"/>
          <w:szCs w:val="22"/>
          <w:highlight w:val="none"/>
        </w:rPr>
      </w:r>
      <w:r/>
    </w:p>
    <w:p>
      <w:pPr>
        <w:pStyle w:val="822"/>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1.采购人信息</w:t>
      </w:r>
      <w:r>
        <w:rPr>
          <w:rFonts w:ascii="Times New Roman" w:hAnsi="Times New Roman" w:cs="仿宋"/>
          <w:color w:val="000000"/>
          <w:sz w:val="24"/>
          <w:szCs w:val="24"/>
          <w:highlight w:val="none"/>
        </w:rPr>
      </w:r>
      <w:r/>
    </w:p>
    <w:p>
      <w:pPr>
        <w:pStyle w:val="822"/>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90"/>
          <w:sz w:val="24"/>
          <w:szCs w:val="24"/>
          <w:highlight w:val="none"/>
        </w:rPr>
        <w:t xml:space="preserve">名 </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泗洪县自然资源和规划局     </w:t>
      </w:r>
      <w:r>
        <w:rPr>
          <w:rFonts w:ascii="Times New Roman" w:hAnsi="Times New Roman" w:eastAsia="宋体" w:cs="仿宋"/>
          <w:color w:val="000000"/>
          <w:sz w:val="24"/>
          <w:szCs w:val="24"/>
          <w:highlight w:val="none"/>
          <w:u w:val="single"/>
          <w:lang w:val="en-US" w:eastAsia="zh-CN"/>
        </w:rPr>
      </w:r>
      <w:r/>
    </w:p>
    <w:p>
      <w:pPr>
        <w:pStyle w:val="822"/>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泗洪县建设南路60号  </w:t>
      </w:r>
      <w:r>
        <w:rPr>
          <w:rFonts w:ascii="Times New Roman" w:hAnsi="Times New Roman" w:eastAsia="宋体" w:cs="仿宋"/>
          <w:color w:val="000000"/>
          <w:sz w:val="24"/>
          <w:szCs w:val="24"/>
          <w:highlight w:val="none"/>
          <w:lang w:val="en-US" w:eastAsia="zh-CN"/>
        </w:rPr>
      </w:r>
      <w:r/>
    </w:p>
    <w:p>
      <w:pPr>
        <w:pStyle w:val="822"/>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系</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周梓云     </w:t>
      </w:r>
      <w:r>
        <w:rPr>
          <w:rFonts w:hint="eastAsia" w:ascii="Times New Roman" w:hAnsi="Times New Roman" w:cs="仿宋"/>
          <w:color w:val="000000"/>
          <w:sz w:val="24"/>
          <w:szCs w:val="24"/>
          <w:highlight w:val="none"/>
        </w:rPr>
        <w:t xml:space="preserve">            </w:t>
      </w:r>
      <w:r>
        <w:rPr>
          <w:rFonts w:ascii="Times New Roman" w:hAnsi="Times New Roman" w:cs="仿宋"/>
          <w:color w:val="000000"/>
          <w:sz w:val="24"/>
          <w:szCs w:val="24"/>
          <w:highlight w:val="none"/>
        </w:rPr>
      </w:r>
      <w:r/>
    </w:p>
    <w:p>
      <w:pPr>
        <w:pStyle w:val="822"/>
        <w:ind w:firstLine="482"/>
        <w:spacing w:line="480" w:lineRule="exact"/>
        <w:rPr>
          <w:rFonts w:ascii="Times New Roman" w:hAnsi="Times New Roman" w:eastAsia="宋体"/>
          <w:color w:val="000000"/>
          <w:sz w:val="24"/>
          <w:szCs w:val="24"/>
          <w:highlight w:val="none"/>
          <w:u w:val="single"/>
          <w:lang w:val="en-US" w:eastAsia="zh-CN"/>
        </w:rPr>
      </w:pPr>
      <w:r>
        <w:rPr>
          <w:rFonts w:hint="eastAsia" w:ascii="Times New Roman" w:hAnsi="Times New Roman" w:cs="仿宋"/>
          <w:color w:val="000000"/>
          <w:sz w:val="24"/>
          <w:szCs w:val="24"/>
          <w:highlight w:val="none"/>
        </w:rPr>
        <w:t xml:space="preserve">联系方式</w:t>
      </w:r>
      <w:bookmarkStart w:id="52" w:name="_Toc28359009"/>
      <w:r/>
      <w:bookmarkStart w:id="53" w:name="_Toc28359086"/>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u w:val="single"/>
          <w:lang w:val="en-US" w:eastAsia="zh-CN"/>
        </w:rPr>
        <w:t xml:space="preserve"> 0527-86229440 </w:t>
      </w:r>
      <w:r>
        <w:rPr>
          <w:rFonts w:ascii="Times New Roman" w:hAnsi="Times New Roman" w:eastAsia="宋体"/>
          <w:color w:val="000000"/>
          <w:sz w:val="24"/>
          <w:szCs w:val="24"/>
          <w:highlight w:val="none"/>
          <w:u w:val="single"/>
          <w:lang w:val="en-US" w:eastAsia="zh-CN"/>
        </w:rPr>
      </w:r>
      <w:r/>
    </w:p>
    <w:p>
      <w:pPr>
        <w:pStyle w:val="822"/>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2.采购代理机构信息</w:t>
      </w:r>
      <w:bookmarkEnd w:id="52"/>
      <w:r/>
      <w:bookmarkEnd w:id="53"/>
      <w:r>
        <w:rPr>
          <w:rFonts w:ascii="Times New Roman" w:hAnsi="Times New Roman" w:cs="仿宋"/>
          <w:color w:val="000000"/>
          <w:sz w:val="24"/>
          <w:szCs w:val="24"/>
          <w:highlight w:val="none"/>
        </w:rPr>
      </w:r>
      <w:r/>
    </w:p>
    <w:p>
      <w:pPr>
        <w:pStyle w:val="822"/>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名</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江苏普和建设项目咨询有限公司</w:t>
      </w:r>
      <w:r>
        <w:rPr>
          <w:rFonts w:hint="eastAsia" w:ascii="Times New Roman" w:hAnsi="Times New Roman" w:cs="仿宋"/>
          <w:color w:val="000000"/>
          <w:sz w:val="24"/>
          <w:szCs w:val="24"/>
          <w:highlight w:val="none"/>
          <w:u w:val="single"/>
          <w:lang w:val="en-US" w:eastAsia="zh-CN"/>
        </w:rPr>
        <w:t xml:space="preserve">  </w:t>
      </w:r>
      <w:r>
        <w:rPr>
          <w:rFonts w:ascii="Times New Roman" w:hAnsi="Times New Roman" w:eastAsia="宋体" w:cs="仿宋"/>
          <w:color w:val="000000"/>
          <w:sz w:val="24"/>
          <w:szCs w:val="24"/>
          <w:highlight w:val="none"/>
          <w:lang w:val="en-US" w:eastAsia="zh-CN"/>
        </w:rPr>
      </w:r>
      <w:r/>
    </w:p>
    <w:p>
      <w:pPr>
        <w:pStyle w:val="822"/>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泗洪县和谐路永昌财富广场4008室  </w:t>
      </w:r>
      <w:r>
        <w:rPr>
          <w:rFonts w:ascii="Times New Roman" w:hAnsi="Times New Roman" w:eastAsia="宋体" w:cs="仿宋"/>
          <w:color w:val="000000"/>
          <w:sz w:val="24"/>
          <w:szCs w:val="24"/>
          <w:highlight w:val="none"/>
          <w:lang w:val="en-US" w:eastAsia="zh-CN"/>
        </w:rPr>
      </w:r>
      <w:r/>
    </w:p>
    <w:p>
      <w:pPr>
        <w:pStyle w:val="822"/>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60"/>
          <w:sz w:val="24"/>
          <w:szCs w:val="24"/>
          <w:highlight w:val="none"/>
        </w:rPr>
        <w:t xml:space="preserve">联系</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s="宋体"/>
          <w:color w:val="000000"/>
          <w:sz w:val="24"/>
          <w:u w:val="single"/>
          <w:lang w:eastAsia="zh-CN"/>
        </w:rPr>
        <w:t xml:space="preserve">罗浩林</w:t>
      </w:r>
      <w:r>
        <w:rPr>
          <w:rFonts w:hint="eastAsia" w:ascii="Times New Roman" w:hAnsi="Times New Roman" w:cs="仿宋"/>
          <w:color w:val="000000"/>
          <w:sz w:val="24"/>
          <w:szCs w:val="24"/>
          <w:highlight w:val="none"/>
          <w:u w:val="single"/>
          <w:lang w:val="en-US" w:eastAsia="zh-CN"/>
        </w:rPr>
        <w:t xml:space="preserve">    </w:t>
      </w:r>
      <w:r>
        <w:rPr>
          <w:rFonts w:ascii="Times New Roman" w:hAnsi="Times New Roman" w:eastAsia="宋体" w:cs="仿宋"/>
          <w:color w:val="000000"/>
          <w:sz w:val="24"/>
          <w:szCs w:val="24"/>
          <w:highlight w:val="none"/>
          <w:u w:val="single"/>
          <w:lang w:val="en-US" w:eastAsia="zh-CN"/>
        </w:rPr>
      </w:r>
      <w:r/>
    </w:p>
    <w:p>
      <w:pPr>
        <w:pStyle w:val="822"/>
        <w:ind w:firstLine="480"/>
        <w:jc w:val="left"/>
        <w:spacing w:line="480" w:lineRule="exact"/>
        <w:rPr>
          <w:rFonts w:hint="eastAsia" w:eastAsia="黑体"/>
          <w:color w:val="000000"/>
          <w:sz w:val="44"/>
          <w:highlight w:val="none"/>
        </w:rPr>
        <w:outlineLvl w:val="0"/>
      </w:pPr>
      <w:r>
        <w:rPr>
          <w:rFonts w:hint="eastAsia" w:ascii="Times New Roman" w:hAnsi="Times New Roman" w:cs="仿宋"/>
          <w:color w:val="000000"/>
          <w:sz w:val="24"/>
          <w:szCs w:val="24"/>
          <w:highlight w:val="none"/>
        </w:rPr>
        <w:t xml:space="preserve">联系方式：</w:t>
      </w:r>
      <w:r>
        <w:rPr>
          <w:rFonts w:hint="eastAsia" w:ascii="Times New Roman" w:hAnsi="Times New Roman" w:eastAsia="宋体" w:cs="仿宋"/>
          <w:color w:val="000000"/>
          <w:sz w:val="24"/>
          <w:szCs w:val="24"/>
          <w:highlight w:val="none"/>
          <w:u w:val="single"/>
          <w:lang w:val="en-US" w:eastAsia="zh-CN"/>
        </w:rPr>
        <w:t xml:space="preserve">0527-89889298/17552661415 </w:t>
      </w:r>
      <w:r>
        <w:rPr>
          <w:rFonts w:hint="eastAsia" w:ascii="Times New Roman" w:hAnsi="Times New Roman" w:eastAsia="宋体" w:cs="仿宋"/>
          <w:color w:val="000000"/>
          <w:sz w:val="24"/>
          <w:szCs w:val="24"/>
          <w:highlight w:val="none"/>
          <w:u w:val="single"/>
          <w:lang w:val="en-US" w:eastAsia="zh-CN"/>
        </w:rPr>
        <w:br w:type="page" w:clear="all"/>
      </w:r>
      <w:bookmarkStart w:id="54" w:name="_Toc15265"/>
      <w:r/>
      <w:bookmarkStart w:id="55" w:name="_Toc81575190"/>
      <w:r/>
      <w:bookmarkStart w:id="56" w:name="_Toc11687"/>
      <w:r/>
      <w:bookmarkStart w:id="57" w:name="_Toc81575153"/>
      <w:r/>
      <w:bookmarkStart w:id="58" w:name="_Toc9425"/>
      <w:r>
        <w:rPr>
          <w:rFonts w:hint="eastAsia" w:ascii="宋体" w:hAnsi="宋体"/>
          <w:color w:val="000000"/>
          <w:sz w:val="24"/>
          <w:szCs w:val="24"/>
          <w:highlight w:val="none"/>
          <w:u w:val="none"/>
          <w:lang w:val="en-US" w:eastAsia="zh-CN"/>
        </w:rPr>
        <w:t xml:space="preserve">                </w:t>
      </w:r>
      <w:r>
        <w:rPr>
          <w:rFonts w:hint="eastAsia" w:eastAsia="黑体"/>
          <w:color w:val="000000"/>
          <w:sz w:val="44"/>
          <w:highlight w:val="none"/>
        </w:rPr>
        <w:t xml:space="preserve">第二章  投标人须知</w:t>
      </w:r>
      <w:bookmarkEnd w:id="54"/>
      <w:r/>
      <w:bookmarkEnd w:id="55"/>
      <w:r/>
      <w:bookmarkEnd w:id="56"/>
      <w:r/>
      <w:bookmarkEnd w:id="57"/>
      <w:r/>
      <w:bookmarkEnd w:id="58"/>
      <w:r>
        <w:rPr>
          <w:rFonts w:hint="eastAsia" w:eastAsia="黑体"/>
          <w:color w:val="000000"/>
          <w:sz w:val="44"/>
          <w:highlight w:val="none"/>
        </w:rPr>
      </w:r>
      <w:r/>
    </w:p>
    <w:p>
      <w:pPr>
        <w:pStyle w:val="824"/>
        <w:jc w:val="center"/>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Pr>
          <w:rFonts w:hint="eastAsia" w:eastAsia="宋体" w:cs="Arial"/>
          <w:bCs/>
          <w:color w:val="000000"/>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22"/>
              <w:jc w:val="center"/>
              <w:rPr>
                <w:rFonts w:hint="eastAsia" w:ascii="仿宋_GB2312" w:hAnsi="仿宋"/>
                <w:b/>
                <w:color w:val="000000"/>
                <w:sz w:val="24"/>
                <w:szCs w:val="24"/>
                <w:highlight w:val="none"/>
              </w:rPr>
              <w:framePr w:vAnchor="text" w:hAnchor="page" w:x="1530" w:y="228"/>
            </w:pPr>
            <w:r/>
            <w:bookmarkStart w:id="60" w:name="_Toc81575154"/>
            <w:r/>
            <w:bookmarkStart w:id="61" w:name="_Toc29262"/>
            <w:r/>
            <w:bookmarkStart w:id="62" w:name="_Toc81575191"/>
            <w:r>
              <w:rPr>
                <w:rFonts w:hint="eastAsia" w:ascii="仿宋_GB2312" w:hAnsi="仿宋"/>
                <w:b/>
                <w:color w:val="000000"/>
                <w:sz w:val="24"/>
                <w:szCs w:val="24"/>
                <w:highlight w:val="none"/>
              </w:rPr>
              <w:t xml:space="preserve">序号</w:t>
            </w:r>
            <w:r>
              <w:rPr>
                <w:rFonts w:hint="eastAsia" w:ascii="仿宋_GB2312" w:hAnsi="仿宋"/>
                <w:b/>
                <w:color w:val="000000"/>
                <w:sz w:val="24"/>
                <w:szCs w:val="24"/>
                <w:highlight w:val="none"/>
              </w:rPr>
            </w:r>
            <w:r/>
          </w:p>
        </w:tc>
        <w:tc>
          <w:tcPr>
            <w:tcW w:w="1772" w:type="dxa"/>
            <w:vAlign w:val="center"/>
            <w:textDirection w:val="lrTb"/>
            <w:noWrap w:val="false"/>
          </w:tcPr>
          <w:p>
            <w:pPr>
              <w:pStyle w:val="822"/>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内容</w:t>
            </w:r>
            <w:r>
              <w:rPr>
                <w:rFonts w:hint="eastAsia" w:ascii="仿宋_GB2312" w:hAnsi="仿宋"/>
                <w:b/>
                <w:color w:val="000000"/>
                <w:sz w:val="24"/>
                <w:szCs w:val="24"/>
                <w:highlight w:val="none"/>
              </w:rPr>
            </w:r>
            <w:r/>
          </w:p>
        </w:tc>
        <w:tc>
          <w:tcPr>
            <w:tcW w:w="6579" w:type="dxa"/>
            <w:vAlign w:val="center"/>
            <w:textDirection w:val="lrTb"/>
            <w:noWrap w:val="false"/>
          </w:tcPr>
          <w:p>
            <w:pPr>
              <w:pStyle w:val="822"/>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说明及要求</w:t>
            </w:r>
            <w:r>
              <w:rPr>
                <w:rFonts w:hint="eastAsia" w:ascii="仿宋_GB2312" w:hAnsi="仿宋"/>
                <w:b/>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项目属性</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rPr>
                <w:rFonts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投标有效期</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投标文件份数</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开标</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“苏采云”政府采购交易系统网上开标大厅进行不见面开标。</w:t>
            </w:r>
            <w:r>
              <w:rPr>
                <w:rFonts w:hint="eastAsia" w:ascii="Times New Roman" w:hAnsi="Times New Roman" w:cs="仿宋"/>
                <w:color w:val="000000"/>
                <w:sz w:val="24"/>
                <w:szCs w:val="24"/>
                <w:highlight w:val="none"/>
              </w:rPr>
            </w:r>
            <w:r/>
          </w:p>
        </w:tc>
      </w:tr>
      <w:tr>
        <w:trPr>
          <w:trHeight w:val="90"/>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进口产品</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822"/>
              <w:jc w:val="left"/>
              <w:spacing w:line="360" w:lineRule="exact"/>
              <w:widowControl/>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2.不接受进口产品。</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6</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评标办法</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具体评标办法详见招标文件第三章。</w:t>
            </w:r>
            <w:r>
              <w:rPr>
                <w:rFonts w:hint="eastAsia"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7</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确定中标人</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822"/>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8</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分包要求</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rPr>
            </w:r>
            <w:r/>
          </w:p>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2.不允许分包。</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hint="eastAsia" w:ascii="Times New Roman" w:hAnsi="Times New Roman" w:eastAsia="宋体" w:cs="仿宋"/>
                <w:color w:val="000000"/>
                <w:sz w:val="24"/>
                <w:szCs w:val="24"/>
                <w:highlight w:val="none"/>
                <w:lang w:val="en-US" w:eastAsia="zh-CN"/>
              </w:rPr>
              <w:framePr w:vAnchor="text" w:hAnchor="page" w:x="1530" w:y="228"/>
            </w:pP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eastAsia="宋体" w:cs="仿宋"/>
                <w:color w:val="000000"/>
                <w:sz w:val="24"/>
                <w:szCs w:val="24"/>
                <w:highlight w:val="none"/>
                <w:lang w:val="en-US" w:eastAsia="zh-CN"/>
              </w:rPr>
            </w:r>
            <w:r/>
          </w:p>
        </w:tc>
        <w:tc>
          <w:tcPr>
            <w:tcW w:w="1772" w:type="dxa"/>
            <w:vAlign w:val="center"/>
            <w:textDirection w:val="lrTb"/>
            <w:noWrap w:val="false"/>
          </w:tcPr>
          <w:p>
            <w:pPr>
              <w:pStyle w:val="822"/>
              <w:jc w:val="center"/>
              <w:spacing w:line="400" w:lineRule="exact"/>
              <w:rPr>
                <w:rFonts w:hint="eastAsia" w:ascii="Times New Roman" w:hAnsi="Times New Roman" w:eastAsia="宋体" w:cs="仿宋"/>
                <w:color w:val="000000"/>
                <w:sz w:val="24"/>
                <w:szCs w:val="24"/>
                <w:highlight w:val="none"/>
                <w:lang w:val="en-US" w:eastAsia="zh-CN" w:bidi="ar-SA"/>
              </w:rPr>
              <w:framePr w:vAnchor="text" w:hAnchor="page" w:x="1530" w:y="228"/>
            </w:pPr>
            <w:r>
              <w:rPr>
                <w:rFonts w:hint="eastAsia" w:ascii="Times New Roman" w:hAnsi="Times New Roman" w:cs="仿宋"/>
                <w:color w:val="000000"/>
                <w:sz w:val="24"/>
                <w:szCs w:val="24"/>
                <w:highlight w:val="none"/>
                <w:lang w:val="en-US" w:eastAsia="zh-CN"/>
              </w:rPr>
              <w:t xml:space="preserve">专家</w:t>
            </w:r>
            <w:r>
              <w:rPr>
                <w:rFonts w:hint="eastAsia" w:ascii="Times New Roman" w:hAnsi="Times New Roman" w:cs="仿宋"/>
                <w:color w:val="000000"/>
                <w:sz w:val="24"/>
                <w:szCs w:val="24"/>
                <w:highlight w:val="none"/>
              </w:rPr>
              <w:t xml:space="preserve">评审劳务报酬支付标准、方式及周期</w:t>
            </w:r>
            <w:r>
              <w:rPr>
                <w:rFonts w:hint="eastAsia" w:ascii="Times New Roman" w:hAnsi="Times New Roman" w:eastAsia="宋体" w:cs="仿宋"/>
                <w:color w:val="000000"/>
                <w:sz w:val="24"/>
                <w:szCs w:val="24"/>
                <w:highlight w:val="none"/>
                <w:lang w:val="en-US" w:eastAsia="zh-CN" w:bidi="ar-SA"/>
              </w:rPr>
            </w:r>
            <w:r/>
          </w:p>
        </w:tc>
        <w:tc>
          <w:tcPr>
            <w:tcW w:w="6579" w:type="dxa"/>
            <w:vAlign w:val="center"/>
            <w:textDirection w:val="lrTb"/>
            <w:noWrap w:val="false"/>
          </w:tcPr>
          <w:p>
            <w:pPr>
              <w:pStyle w:val="822"/>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支付标准</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参照《宿迁市政府采购专家评审费发放标准》宿财购</w:t>
            </w:r>
            <w:r>
              <w:rPr>
                <w:rFonts w:hint="eastAsia" w:ascii="Times New Roman" w:hAnsi="Times New Roman" w:eastAsia="宋体" w:cs="仿宋"/>
                <w:color w:val="000000"/>
                <w:sz w:val="24"/>
                <w:szCs w:val="24"/>
                <w:highlight w:val="none"/>
                <w:lang w:eastAsia="zh-CN"/>
              </w:rPr>
              <w:t xml:space="preserve">〔2018〕32号</w:t>
            </w:r>
            <w:r>
              <w:rPr>
                <w:rFonts w:hint="eastAsia" w:ascii="Times New Roman" w:hAnsi="Times New Roman" w:eastAsia="宋体" w:cs="仿宋"/>
                <w:color w:val="000000"/>
                <w:sz w:val="24"/>
                <w:szCs w:val="24"/>
                <w:highlight w:val="none"/>
              </w:rPr>
              <w:t xml:space="preserve">支付，</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2小时以内200元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超过2小时不足8小时的，按100元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连续评审超过8小时，超出部分按200元/人·小时计算。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r>
            <w:r/>
          </w:p>
          <w:p>
            <w:pPr>
              <w:pStyle w:val="822"/>
              <w:jc w:val="left"/>
              <w:spacing w:line="400" w:lineRule="exact"/>
              <w:rPr>
                <w:rFonts w:hint="eastAsia" w:ascii="Times New Roman" w:hAnsi="Times New Roman" w:eastAsia="宋体" w:cs="仿宋"/>
                <w:color w:val="000000"/>
                <w:sz w:val="24"/>
                <w:szCs w:val="24"/>
                <w:highlight w:val="none"/>
                <w:lang w:val="en-US" w:eastAsia="zh-CN" w:bidi="ar-SA"/>
              </w:rPr>
              <w:framePr w:vAnchor="text" w:hAnchor="page" w:x="1530" w:y="228"/>
            </w:pPr>
            <w:r>
              <w:rPr>
                <w:rFonts w:hint="eastAsia" w:ascii="Times New Roman" w:hAnsi="Times New Roman" w:eastAsia="宋体" w:cs="仿宋"/>
                <w:color w:val="000000"/>
                <w:sz w:val="24"/>
                <w:szCs w:val="24"/>
                <w:highlight w:val="none"/>
              </w:rPr>
              <w:t xml:space="preserve">支付方式及周期</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eastAsia="宋体" w:cs="仿宋"/>
                <w:color w:val="000000"/>
                <w:sz w:val="24"/>
                <w:szCs w:val="24"/>
                <w:highlight w:val="none"/>
              </w:rPr>
              <w:t xml:space="preserve">个工作日</w:t>
            </w:r>
            <w:r>
              <w:rPr>
                <w:rFonts w:hint="eastAsia" w:ascii="Times New Roman" w:hAnsi="Times New Roman" w:eastAsia="宋体" w:cs="仿宋"/>
                <w:color w:val="000000"/>
                <w:sz w:val="24"/>
                <w:szCs w:val="24"/>
                <w:highlight w:val="none"/>
                <w:lang w:eastAsia="zh-CN"/>
              </w:rPr>
              <w:t xml:space="preserve">。因专家原因导致项目废标，则不需要向应当承担责任的专家支付费用。</w:t>
            </w:r>
            <w:r>
              <w:rPr>
                <w:rFonts w:hint="eastAsia" w:ascii="Times New Roman" w:hAnsi="Times New Roman" w:eastAsia="宋体" w:cs="仿宋"/>
                <w:color w:val="000000"/>
                <w:sz w:val="24"/>
                <w:szCs w:val="24"/>
                <w:highlight w:val="none"/>
                <w:lang w:val="en-US" w:eastAsia="zh-CN" w:bidi="ar-SA"/>
              </w:rPr>
            </w:r>
            <w:r/>
          </w:p>
        </w:tc>
      </w:tr>
      <w:tr>
        <w:trPr/>
        <w:tc>
          <w:tcPr>
            <w:tcW w:w="858" w:type="dxa"/>
            <w:vAlign w:val="center"/>
            <w:textDirection w:val="lrTb"/>
            <w:noWrap w:val="false"/>
          </w:tcPr>
          <w:p>
            <w:pPr>
              <w:pStyle w:val="822"/>
              <w:jc w:val="center"/>
              <w:spacing w:line="400" w:lineRule="exact"/>
              <w:rPr>
                <w:rFonts w:ascii="Times New Roman" w:hAnsi="Times New Roman" w:eastAsia="宋体" w:cs="仿宋"/>
                <w:color w:val="000000"/>
                <w:sz w:val="24"/>
                <w:szCs w:val="24"/>
                <w:highlight w:val="none"/>
                <w:lang w:val="en-US" w:eastAsia="zh-CN"/>
              </w:rPr>
              <w:framePr w:vAnchor="text" w:hAnchor="page" w:x="1530" w:y="228"/>
            </w:pPr>
            <w:r>
              <w:rPr>
                <w:rFonts w:hint="eastAsia" w:ascii="Times New Roman" w:hAnsi="Times New Roman" w:cs="仿宋"/>
                <w:color w:val="000000"/>
                <w:sz w:val="24"/>
                <w:szCs w:val="24"/>
                <w:highlight w:val="none"/>
                <w:lang w:val="en-US" w:eastAsia="zh-CN"/>
              </w:rPr>
              <w:t xml:space="preserve">10</w:t>
            </w:r>
            <w:r>
              <w:rPr>
                <w:rFonts w:ascii="Times New Roman" w:hAnsi="Times New Roman" w:eastAsia="宋体" w:cs="仿宋"/>
                <w:color w:val="000000"/>
                <w:sz w:val="24"/>
                <w:szCs w:val="24"/>
                <w:highlight w:val="none"/>
                <w:lang w:val="en-US" w:eastAsia="zh-CN"/>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代理费用收取方式及标准</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bookmarkStart w:id="69" w:name="EBfe735bb6fc4d4e5e9e350f940db98c5f"/>
            <w:r/>
            <w:bookmarkEnd w:id="69"/>
            <w:r>
              <w:rPr>
                <w:rFonts w:hint="eastAsia" w:ascii="Times New Roman" w:hAnsi="Times New Roman" w:cs="仿宋"/>
                <w:color w:val="000000"/>
                <w:sz w:val="24"/>
                <w:szCs w:val="24"/>
                <w:highlight w:val="none"/>
                <w:lang w:val="en-US" w:eastAsia="zh-CN"/>
              </w:rPr>
              <w:t xml:space="preserve">由采购人支付，</w:t>
            </w:r>
            <w:r>
              <w:rPr>
                <w:rFonts w:ascii="Times New Roman" w:hAnsi="Times New Roman" w:cs="仿宋"/>
                <w:color w:val="000000"/>
                <w:sz w:val="24"/>
                <w:szCs w:val="24"/>
                <w:highlight w:val="none"/>
                <w:lang w:val="en-US"/>
              </w:rPr>
              <w:t xml:space="preserve">代理费按《江苏省政府采购代理服务收费指导意见》苏政采协〔2024〕20号文</w:t>
            </w:r>
            <w:r>
              <w:rPr>
                <w:rFonts w:hint="eastAsia" w:ascii="Times New Roman" w:hAnsi="Times New Roman" w:cs="仿宋"/>
                <w:color w:val="000000"/>
                <w:sz w:val="24"/>
                <w:szCs w:val="24"/>
                <w:highlight w:val="none"/>
                <w:lang w:val="en-US" w:eastAsia="zh-CN"/>
              </w:rPr>
              <w:t xml:space="preserve">计费收取。</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2"/>
              <w:jc w:val="center"/>
              <w:spacing w:line="400" w:lineRule="exact"/>
              <w:rPr>
                <w:rFonts w:ascii="Times New Roman" w:hAnsi="Times New Roman" w:eastAsia="宋体" w:cs="仿宋"/>
                <w:color w:val="000000"/>
                <w:sz w:val="24"/>
                <w:szCs w:val="24"/>
                <w:highlight w:val="none"/>
                <w:lang w:val="en-US" w:eastAsia="zh-CN"/>
              </w:rPr>
              <w:framePr w:vAnchor="text" w:hAnchor="page" w:x="1530" w:y="228"/>
            </w:pPr>
            <w:r>
              <w:rPr>
                <w:rFonts w:hint="eastAsia" w:ascii="Times New Roman" w:hAnsi="Times New Roman" w:cs="仿宋"/>
                <w:color w:val="000000"/>
                <w:sz w:val="24"/>
                <w:szCs w:val="24"/>
                <w:highlight w:val="none"/>
                <w:lang w:val="en-US" w:eastAsia="zh-CN"/>
              </w:rPr>
              <w:t xml:space="preserve">11</w:t>
            </w:r>
            <w:r>
              <w:rPr>
                <w:rFonts w:ascii="Times New Roman" w:hAnsi="Times New Roman" w:eastAsia="宋体" w:cs="仿宋"/>
                <w:color w:val="000000"/>
                <w:sz w:val="24"/>
                <w:szCs w:val="24"/>
                <w:highlight w:val="none"/>
                <w:lang w:val="en-US" w:eastAsia="zh-CN"/>
              </w:rPr>
            </w:r>
            <w:r/>
          </w:p>
        </w:tc>
        <w:tc>
          <w:tcPr>
            <w:tcW w:w="1772" w:type="dxa"/>
            <w:vAlign w:val="center"/>
            <w:textDirection w:val="lrTb"/>
            <w:noWrap w:val="false"/>
          </w:tcPr>
          <w:p>
            <w:pPr>
              <w:pStyle w:val="822"/>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其他</w:t>
            </w:r>
            <w:bookmarkEnd w:id="60"/>
            <w:r/>
            <w:bookmarkEnd w:id="61"/>
            <w:r/>
            <w:bookmarkEnd w:id="62"/>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2"/>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color w:val="000000"/>
                <w:sz w:val="24"/>
                <w:szCs w:val="24"/>
                <w:highlight w:val="none"/>
              </w:rPr>
            </w:r>
            <w:r/>
          </w:p>
        </w:tc>
      </w:tr>
    </w:tbl>
    <w:p>
      <w:pPr>
        <w:pStyle w:val="822"/>
        <w:rPr>
          <w:color w:val="000000"/>
          <w:sz w:val="20"/>
          <w:highlight w:val="none"/>
        </w:rPr>
      </w:pPr>
      <w:r>
        <w:rPr>
          <w:color w:val="000000"/>
          <w:sz w:val="20"/>
          <w:highlight w:val="none"/>
        </w:rPr>
      </w:r>
      <w:r/>
    </w:p>
    <w:p>
      <w:pPr>
        <w:pStyle w:val="824"/>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81575192"/>
      <w:r/>
      <w:bookmarkStart w:id="72" w:name="_Toc30953"/>
      <w:r/>
      <w:bookmarkStart w:id="73" w:name="_Toc81575155"/>
      <w:r/>
      <w:bookmarkStart w:id="74" w:name="_Toc8239"/>
      <w:r>
        <w:rPr>
          <w:rFonts w:hint="eastAsia" w:eastAsia="宋体" w:cs="Arial"/>
          <w:bCs/>
          <w:color w:val="000000"/>
          <w:szCs w:val="22"/>
          <w:highlight w:val="none"/>
        </w:rPr>
        <w:t xml:space="preserve">一、总 则</w:t>
      </w:r>
      <w:bookmarkEnd w:id="71"/>
      <w:r/>
      <w:bookmarkEnd w:id="72"/>
      <w:r/>
      <w:bookmarkEnd w:id="73"/>
      <w:r/>
      <w:bookmarkEnd w:id="74"/>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rPr>
          <w:rFonts w:hint="eastAsia" w:ascii="Times New Roman" w:hAnsi="Times New Roman" w:cs="仿宋"/>
          <w:color w:val="000000"/>
          <w:sz w:val="24"/>
          <w:highlight w:val="none"/>
        </w:rPr>
      </w:r>
      <w:r/>
    </w:p>
    <w:p>
      <w:pPr>
        <w:pStyle w:val="824"/>
        <w:ind w:firstLine="321"/>
        <w:spacing w:before="0" w:after="0" w:line="480" w:lineRule="exact"/>
        <w:rPr>
          <w:rFonts w:hint="eastAsia" w:eastAsia="宋体" w:cs="Arial"/>
          <w:bCs/>
          <w:color w:val="000000"/>
          <w:szCs w:val="22"/>
          <w:highlight w:val="none"/>
        </w:rPr>
      </w:pPr>
      <w:r/>
      <w:bookmarkStart w:id="75" w:name="_Toc15995"/>
      <w:r/>
      <w:bookmarkStart w:id="76" w:name="_Toc81575156"/>
      <w:r/>
      <w:bookmarkStart w:id="77" w:name="_Toc29306"/>
      <w:r/>
      <w:bookmarkStart w:id="78" w:name="_Toc81575193"/>
      <w:r>
        <w:rPr>
          <w:rFonts w:hint="eastAsia" w:eastAsia="宋体" w:cs="Arial"/>
          <w:bCs/>
          <w:color w:val="000000"/>
          <w:szCs w:val="22"/>
          <w:highlight w:val="none"/>
        </w:rPr>
        <w:t xml:space="preserve">二、招标文件</w:t>
      </w:r>
      <w:bookmarkEnd w:id="75"/>
      <w:r/>
      <w:bookmarkEnd w:id="76"/>
      <w:r/>
      <w:bookmarkEnd w:id="77"/>
      <w:r/>
      <w:bookmarkEnd w:id="78"/>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rPr>
      </w:r>
      <w:r/>
    </w:p>
    <w:p>
      <w:pPr>
        <w:pStyle w:val="822"/>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w:t>
      </w:r>
      <w:r>
        <w:rPr>
          <w:rFonts w:hint="eastAsia" w:ascii="Times New Roman" w:hAnsi="Times New Roman" w:cs="仿宋"/>
          <w:b/>
          <w:bCs/>
          <w:color w:val="000000"/>
          <w:sz w:val="24"/>
          <w:highlight w:val="none"/>
          <w:u w:val="single"/>
          <w:lang w:val="en-US" w:eastAsia="zh-CN"/>
        </w:rPr>
        <w:t xml:space="preserve">.1</w:t>
      </w:r>
      <w:r>
        <w:rPr>
          <w:rFonts w:hint="eastAsia" w:ascii="Times New Roman" w:hAnsi="Times New Roman" w:cs="仿宋"/>
          <w:b/>
          <w:bCs/>
          <w:color w:val="000000"/>
          <w:sz w:val="24"/>
          <w:highlight w:val="none"/>
          <w:u w:val="single"/>
        </w:rPr>
        <w:t xml:space="preserve"> </w:t>
      </w:r>
      <w:r>
        <w:rPr>
          <w:rFonts w:ascii="Times New Roman" w:hAnsi="Times New Roman" w:cs="仿宋"/>
          <w:b/>
          <w:bCs/>
          <w:color w:val="000000"/>
          <w:sz w:val="24"/>
          <w:highlight w:val="none"/>
          <w:u w:val="singl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ff0000"/>
          <w:sz w:val="24"/>
          <w:highlight w:val="none"/>
          <w:u w:val="single"/>
          <w:lang w:val="en-US" w:eastAsia="zh-CN"/>
        </w:rPr>
        <w:t xml:space="preserve">/</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color w:val="000000"/>
          <w:sz w:val="24"/>
          <w:highlight w:val="none"/>
        </w:rPr>
      </w:r>
      <w:r/>
    </w:p>
    <w:p>
      <w:pPr>
        <w:pStyle w:val="822"/>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rPr>
          <w:rFonts w:hint="eastAsia" w:ascii="Times New Roman" w:hAnsi="Times New Roman" w:eastAsia="宋体" w:cs="仿宋"/>
          <w:sz w:val="24"/>
        </w:rPr>
      </w:r>
      <w:r/>
    </w:p>
    <w:p>
      <w:pPr>
        <w:pStyle w:val="822"/>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rPr>
          <w:rFonts w:hint="eastAsia" w:ascii="Times New Roman" w:hAnsi="Times New Roman" w:eastAsia="宋体" w:cs="仿宋"/>
          <w:sz w:val="24"/>
        </w:rPr>
      </w:r>
      <w:r/>
    </w:p>
    <w:p>
      <w:pPr>
        <w:pStyle w:val="822"/>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rPr>
          <w:rFonts w:hint="eastAsia" w:ascii="Times New Roman" w:hAnsi="Times New Roman" w:eastAsia="宋体" w:cs="仿宋"/>
          <w:sz w:val="24"/>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rPr>
          <w:rFonts w:hint="eastAsia" w:ascii="Times New Roman" w:hAnsi="Times New Roman" w:cs="仿宋"/>
          <w:color w:val="000000"/>
          <w:sz w:val="24"/>
          <w:highlight w:val="none"/>
        </w:rPr>
      </w:r>
      <w:r/>
    </w:p>
    <w:p>
      <w:pPr>
        <w:pStyle w:val="824"/>
        <w:ind w:firstLine="321"/>
        <w:spacing w:before="0" w:after="0" w:line="480" w:lineRule="exact"/>
        <w:rPr>
          <w:rFonts w:hint="eastAsia" w:eastAsia="宋体" w:cs="Arial"/>
          <w:bCs/>
          <w:color w:val="000000"/>
          <w:szCs w:val="22"/>
          <w:highlight w:val="none"/>
        </w:rPr>
      </w:pPr>
      <w:r/>
      <w:bookmarkStart w:id="79" w:name="_Toc81575157"/>
      <w:r/>
      <w:bookmarkStart w:id="80" w:name="_Toc11461"/>
      <w:r/>
      <w:bookmarkStart w:id="81" w:name="_Toc81575194"/>
      <w:r/>
      <w:bookmarkStart w:id="82" w:name="_Toc5574"/>
      <w:r>
        <w:rPr>
          <w:rFonts w:hint="eastAsia" w:eastAsia="宋体" w:cs="Arial"/>
          <w:bCs/>
          <w:color w:val="000000"/>
          <w:szCs w:val="22"/>
          <w:highlight w:val="none"/>
        </w:rPr>
        <w:t xml:space="preserve">三、投标文件的编制</w:t>
      </w:r>
      <w:bookmarkEnd w:id="79"/>
      <w:r/>
      <w:bookmarkEnd w:id="80"/>
      <w:r/>
      <w:bookmarkEnd w:id="81"/>
      <w:r/>
      <w:bookmarkEnd w:id="82"/>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rPr>
          <w:rFonts w:hint="eastAsia" w:ascii="Times New Roman" w:hAnsi="Times New Roman" w:cs="仿宋"/>
          <w:b/>
          <w:color w:val="000000"/>
          <w:sz w:val="24"/>
          <w:highlight w:val="none"/>
        </w:rPr>
      </w:r>
      <w:r/>
    </w:p>
    <w:p>
      <w:pPr>
        <w:pStyle w:val="822"/>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Pr>
          <w:rFonts w:ascii="Times New Roman" w:hAnsi="Times New Roman" w:cs="仿宋"/>
          <w:bCs/>
          <w:color w:val="000000"/>
          <w:sz w:val="24"/>
          <w:highlight w:val="none"/>
        </w:rPr>
      </w:r>
      <w:r/>
    </w:p>
    <w:p>
      <w:pPr>
        <w:pStyle w:val="822"/>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Pr>
          <w:rFonts w:ascii="Times New Roman" w:hAnsi="Times New Roman" w:cs="仿宋"/>
          <w:bCs/>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rPr>
          <w:rFonts w:hint="eastAsia" w:ascii="Times New Roman" w:hAnsi="Times New Roman" w:cs="仿宋"/>
          <w:b/>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4" w:name="EB183a0bf075204c54a4ff090f1aecaaa7"/>
      <w:r>
        <w:rPr>
          <w:rFonts w:hint="eastAsia" w:ascii="Times New Roman" w:hAnsi="Times New Roman" w:cs="仿宋"/>
          <w:b/>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Pr>
          <w:rFonts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color w:val="000000"/>
          <w:sz w:val="24"/>
          <w:highlight w:val="none"/>
        </w:rPr>
      </w:r>
      <w:r/>
    </w:p>
    <w:p>
      <w:pPr>
        <w:pStyle w:val="824"/>
        <w:ind w:firstLine="321"/>
        <w:spacing w:before="0" w:after="0" w:line="480" w:lineRule="exact"/>
        <w:rPr>
          <w:rFonts w:hint="eastAsia" w:eastAsia="宋体" w:cs="Arial"/>
          <w:bCs/>
          <w:color w:val="000000"/>
          <w:szCs w:val="22"/>
          <w:highlight w:val="none"/>
        </w:rPr>
      </w:pPr>
      <w:r/>
      <w:bookmarkStart w:id="85" w:name="_Toc81575158"/>
      <w:r/>
      <w:bookmarkStart w:id="86" w:name="_Toc2773"/>
      <w:r/>
      <w:bookmarkStart w:id="87" w:name="_Toc23443"/>
      <w:r/>
      <w:bookmarkStart w:id="88" w:name="_Toc81575195"/>
      <w:r>
        <w:rPr>
          <w:rFonts w:hint="eastAsia" w:eastAsia="宋体" w:cs="Arial"/>
          <w:bCs/>
          <w:color w:val="000000"/>
          <w:szCs w:val="22"/>
          <w:highlight w:val="none"/>
        </w:rPr>
        <w:t xml:space="preserve">四、投标文件的提交</w:t>
      </w:r>
      <w:bookmarkEnd w:id="85"/>
      <w:r/>
      <w:bookmarkEnd w:id="86"/>
      <w:r/>
      <w:bookmarkEnd w:id="87"/>
      <w:r/>
      <w:bookmarkEnd w:id="88"/>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color w:val="000000"/>
          <w:sz w:val="24"/>
          <w:highlight w:val="none"/>
        </w:rPr>
      </w:r>
      <w:r/>
    </w:p>
    <w:p>
      <w:pPr>
        <w:pStyle w:val="822"/>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rPr>
          <w:rFonts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rPr>
          <w:rFonts w:hint="eastAsia" w:ascii="Times New Roman" w:hAnsi="Times New Roman" w:cs="仿宋"/>
          <w:color w:val="000000"/>
          <w:sz w:val="24"/>
          <w:highlight w:val="none"/>
        </w:rPr>
      </w:r>
      <w:r/>
    </w:p>
    <w:p>
      <w:pPr>
        <w:pStyle w:val="824"/>
        <w:ind w:firstLine="321"/>
        <w:spacing w:before="0" w:after="0" w:line="520" w:lineRule="exact"/>
        <w:rPr>
          <w:rFonts w:hint="eastAsia" w:eastAsia="宋体" w:cs="Arial"/>
          <w:bCs/>
          <w:color w:val="000000"/>
          <w:szCs w:val="22"/>
          <w:highlight w:val="none"/>
        </w:rPr>
      </w:pPr>
      <w:r/>
      <w:bookmarkStart w:id="89" w:name="_Toc20026"/>
      <w:r/>
      <w:bookmarkStart w:id="90" w:name="_Toc959"/>
      <w:r/>
      <w:bookmarkStart w:id="91" w:name="_Toc81575197"/>
      <w:r/>
      <w:bookmarkStart w:id="92" w:name="_Toc81575160"/>
      <w:r>
        <w:rPr>
          <w:rFonts w:hint="eastAsia" w:eastAsia="宋体" w:cs="Arial"/>
          <w:bCs/>
          <w:color w:val="000000"/>
          <w:szCs w:val="22"/>
          <w:highlight w:val="none"/>
        </w:rPr>
        <w:t xml:space="preserve">五、开标、评标程序</w:t>
      </w:r>
      <w:bookmarkEnd w:id="89"/>
      <w:r/>
      <w:bookmarkEnd w:id="90"/>
      <w:r/>
      <w:bookmarkEnd w:id="91"/>
      <w:r/>
      <w:bookmarkEnd w:id="92"/>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3" w:name="EBa9c0a2c9e523494487594c65b2a92370"/>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rPr>
          <w:rFonts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rPr>
          <w:rFonts w:hint="eastAsia" w:ascii="Times New Roman" w:hAnsi="Times New Roman" w:cs="仿宋"/>
          <w:color w:val="000000"/>
          <w:sz w:val="24"/>
          <w:highlight w:val="none"/>
        </w:rPr>
      </w:r>
      <w:r/>
    </w:p>
    <w:p>
      <w:pPr>
        <w:pStyle w:val="822"/>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rPr>
          <w:rFonts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rPr>
          <w:rFonts w:hint="eastAsia" w:ascii="Times New Roman" w:hAnsi="Times New Roman" w:cs="仿宋"/>
          <w:color w:val="000000"/>
          <w:sz w:val="24"/>
          <w:highlight w:val="none"/>
        </w:rPr>
      </w:r>
      <w:r/>
    </w:p>
    <w:p>
      <w:pPr>
        <w:pStyle w:val="824"/>
        <w:ind w:firstLine="321"/>
        <w:spacing w:before="0" w:after="0" w:line="480" w:lineRule="exact"/>
        <w:rPr>
          <w:rFonts w:hint="eastAsia" w:eastAsia="宋体" w:cs="Arial"/>
          <w:bCs/>
          <w:color w:val="000000"/>
          <w:szCs w:val="22"/>
          <w:highlight w:val="none"/>
        </w:rPr>
      </w:pPr>
      <w:r/>
      <w:bookmarkStart w:id="95" w:name="_Toc8712"/>
      <w:r/>
      <w:bookmarkStart w:id="96" w:name="_Toc81575159"/>
      <w:r/>
      <w:bookmarkStart w:id="97" w:name="_Toc8841"/>
      <w:r/>
      <w:bookmarkStart w:id="98" w:name="_Toc81575196"/>
      <w:r>
        <w:rPr>
          <w:rFonts w:hint="eastAsia" w:eastAsia="宋体" w:cs="Arial"/>
          <w:bCs/>
          <w:color w:val="000000"/>
          <w:szCs w:val="22"/>
          <w:highlight w:val="none"/>
        </w:rPr>
        <w:t xml:space="preserve">六、无效投标、废标、串通投标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rPr>
          <w:rFonts w:hint="eastAsia" w:ascii="Times New Roman" w:hAnsi="Times New Roman" w:cs="仿宋"/>
          <w:strike/>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rPr>
          <w:rFonts w:hint="eastAsia" w:ascii="Times New Roman" w:hAnsi="Times New Roman" w:cs="仿宋"/>
          <w:b/>
          <w:color w:val="000000"/>
          <w:sz w:val="24"/>
          <w:highlight w:val="none"/>
        </w:rPr>
      </w:r>
      <w:r/>
    </w:p>
    <w:p>
      <w:pPr>
        <w:pStyle w:val="822"/>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rPr>
          <w:rFonts w:ascii="黑体" w:hAnsi="黑体" w:eastAsia="黑体"/>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rPr>
          <w:rFonts w:hint="eastAsia" w:ascii="Times New Roman" w:hAnsi="Times New Roman" w:cs="仿宋"/>
          <w:color w:val="000000"/>
          <w:sz w:val="24"/>
          <w:highlight w:val="none"/>
        </w:rPr>
      </w:r>
      <w:r/>
    </w:p>
    <w:p>
      <w:pPr>
        <w:pStyle w:val="822"/>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ascii="黑体" w:hAnsi="黑体" w:eastAsia="黑体"/>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bookmarkEnd w:id="99"/>
      <w:r>
        <w:rPr>
          <w:rFonts w:hint="eastAsia" w:ascii="Times New Roman" w:hAnsi="Times New Roman" w:cs="仿宋"/>
          <w:color w:val="000000"/>
          <w:sz w:val="24"/>
          <w:highlight w:val="none"/>
        </w:rPr>
        <w:t xml:space="preserve">22.1提供虚假材料谋取中标的；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6494"/>
      <w:r/>
      <w:bookmarkStart w:id="101" w:name="_Toc2391"/>
      <w:r/>
      <w:bookmarkStart w:id="102" w:name="_Toc81575198"/>
      <w:r/>
      <w:bookmarkStart w:id="103" w:name="_Toc81575161"/>
      <w:r>
        <w:rPr>
          <w:rFonts w:hint="eastAsia" w:ascii="Times New Roman" w:hAnsi="Times New Roman" w:cs="仿宋"/>
          <w:color w:val="000000"/>
          <w:sz w:val="24"/>
          <w:highlight w:val="none"/>
        </w:rPr>
      </w:r>
      <w:r/>
    </w:p>
    <w:p>
      <w:pPr>
        <w:pStyle w:val="822"/>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Pr>
          <w:rFonts w:hint="eastAsia" w:ascii="Arial" w:hAnsi="Arial" w:eastAsia="宋体" w:cs="Arial"/>
          <w:b/>
          <w:bCs/>
          <w:color w:val="000000"/>
          <w:sz w:val="32"/>
          <w:szCs w:val="22"/>
          <w:highlight w:val="none"/>
          <w:lang w:val="en-US" w:eastAsia="zh-CN" w:bidi="ar-SA"/>
        </w:rPr>
      </w:r>
      <w:r/>
    </w:p>
    <w:p>
      <w:pPr>
        <w:pStyle w:val="822"/>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rPr>
          <w:rFonts w:ascii="Times New Roman" w:hAnsi="Times New Roman" w:cs="仿宋"/>
          <w:color w:val="000000"/>
          <w:sz w:val="24"/>
          <w:highlight w:val="none"/>
        </w:rPr>
      </w:r>
      <w:r/>
    </w:p>
    <w:p>
      <w:pPr>
        <w:pStyle w:val="822"/>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r>
        <w:rPr>
          <w:rFonts w:hint="eastAsia" w:ascii="Times New Roman" w:hAnsi="Times New Roman" w:cs="仿宋"/>
          <w:color w:val="000000"/>
          <w:sz w:val="24"/>
          <w:highlight w:val="none"/>
        </w:rPr>
      </w:r>
      <w:r/>
    </w:p>
    <w:p>
      <w:pPr>
        <w:pStyle w:val="822"/>
        <w:ind w:firstLine="482"/>
        <w:spacing w:line="500" w:lineRule="exact"/>
        <w:rPr>
          <w:rFonts w:hint="eastAsia" w:ascii="Times New Roman" w:hAnsi="Times New Roman" w:cs="仿宋"/>
          <w:b/>
          <w:color w:val="000000"/>
          <w:sz w:val="24"/>
          <w:highlight w:val="none"/>
        </w:rPr>
      </w:pPr>
      <w:r/>
      <w:bookmarkEnd w:id="104"/>
      <w:r>
        <w:rPr>
          <w:rFonts w:hint="eastAsia" w:ascii="Times New Roman" w:hAnsi="Times New Roman" w:cs="仿宋"/>
          <w:b/>
          <w:color w:val="000000"/>
          <w:sz w:val="24"/>
          <w:highlight w:val="none"/>
        </w:rPr>
        <w:t xml:space="preserve">25、授予合同</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rPr>
          <w:rFonts w:hint="eastAsia" w:ascii="Times New Roman" w:hAnsi="Times New Roman" w:cs="仿宋"/>
          <w:b/>
          <w:color w:val="000000"/>
          <w:sz w:val="24"/>
          <w:highlight w:val="none"/>
        </w:rPr>
      </w:r>
      <w:r/>
    </w:p>
    <w:p>
      <w:pPr>
        <w:pStyle w:val="822"/>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w:t>
      </w:r>
      <w:r>
        <w:rPr>
          <w:rFonts w:hint="eastAsia" w:ascii="Times New Roman" w:hAnsi="Times New Roman" w:cs="仿宋"/>
          <w:color w:val="000000" w:themeColor="text1"/>
          <w:sz w:val="24"/>
          <w:highlight w:val="white"/>
          <w:lang w:val="zh-CN"/>
        </w:rPr>
        <w:t xml:space="preserve">照以下第</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u w:val="single"/>
          <w:lang w:val="en-US" w:eastAsia="zh-CN"/>
        </w:rPr>
        <w:t xml:space="preserve">2</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lang w:val="zh-CN"/>
        </w:rPr>
        <w:t xml:space="preserve">方</w:t>
      </w:r>
      <w:r>
        <w:rPr>
          <w:rFonts w:hint="eastAsia" w:ascii="Times New Roman" w:hAnsi="Times New Roman" w:cs="仿宋"/>
          <w:color w:val="000000" w:themeColor="text1"/>
          <w:sz w:val="24"/>
          <w:highlight w:val="white"/>
          <w:lang w:val="zh-CN"/>
        </w:rPr>
        <w:t xml:space="preserve">式确定履约保证</w:t>
      </w:r>
      <w:r>
        <w:rPr>
          <w:rFonts w:hint="eastAsia" w:ascii="Times New Roman" w:hAnsi="Times New Roman" w:cs="仿宋"/>
          <w:color w:val="000000" w:themeColor="text1"/>
          <w:sz w:val="24"/>
          <w:highlight w:val="whit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.1履约保证金提交形式</w:t>
      </w:r>
      <w:r>
        <w:rPr>
          <w:rFonts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.2履约保证金提交金额</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bookmarkStart w:id="105"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rPr>
          <w:rFonts w:hint="eastAsia" w:ascii="Times New Roman" w:hAnsi="Times New Roman" w:eastAsia="宋体"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.3履约保证金退还方式</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.4履约保证金退还条件</w:t>
      </w:r>
      <w:r>
        <w:rPr>
          <w:rFonts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rPr>
          <w:rFonts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.5履约保证金退还时间</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.6履约保证金不予退还情形</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.7逾期退还履约保证金违约责任</w:t>
      </w:r>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105"/>
      <w:r>
        <w:rPr>
          <w:rFonts w:hint="eastAsia" w:ascii="Times New Roman" w:hAnsi="Times New Roman" w:cs="仿宋"/>
          <w:color w:val="000000"/>
          <w:sz w:val="24"/>
          <w:highlight w:val="none"/>
        </w:rPr>
      </w:r>
      <w:r/>
    </w:p>
    <w:p>
      <w:pPr>
        <w:pStyle w:val="822"/>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rPr>
          <w:rFonts w:ascii="Times New Roman" w:hAnsi="Times New Roman" w:cs="仿宋"/>
          <w:b/>
          <w:bCs/>
          <w:color w:val="000000"/>
          <w:sz w:val="24"/>
          <w:szCs w:val="24"/>
          <w:highlight w:val="none"/>
        </w:rPr>
      </w:r>
      <w:r/>
    </w:p>
    <w:p>
      <w:pPr>
        <w:pStyle w:val="822"/>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rPr>
          <w:rFonts w:hint="eastAsia" w:ascii="Times New Roman" w:hAnsi="Times New Roman" w:cs="仿宋"/>
          <w:b/>
          <w:bCs/>
          <w:color w:val="000000"/>
          <w:sz w:val="24"/>
          <w:szCs w:val="24"/>
          <w:highlight w:val="none"/>
        </w:rPr>
      </w:r>
      <w:r/>
    </w:p>
    <w:p>
      <w:pPr>
        <w:pStyle w:val="822"/>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color w:val="000000"/>
          <w:sz w:val="24"/>
          <w:highlight w:val="none"/>
        </w:rPr>
      </w:r>
      <w:r/>
    </w:p>
    <w:p>
      <w:pPr>
        <w:pStyle w:val="824"/>
        <w:spacing w:before="0" w:after="0" w:line="520" w:lineRule="exact"/>
        <w:rPr>
          <w:rFonts w:hint="eastAsia" w:eastAsia="宋体" w:cs="Arial"/>
          <w:bCs/>
          <w:color w:val="000000"/>
          <w:szCs w:val="22"/>
          <w:highlight w:val="none"/>
        </w:rPr>
      </w:pPr>
      <w:r/>
      <w:bookmarkStart w:id="106" w:name="_Toc81575199"/>
      <w:r/>
      <w:bookmarkStart w:id="107" w:name="_Toc7550"/>
      <w:r/>
      <w:bookmarkStart w:id="108" w:name="_Toc22084"/>
      <w:r/>
      <w:bookmarkStart w:id="109" w:name="_Toc81575162"/>
      <w:r>
        <w:rPr>
          <w:rFonts w:hint="eastAsia" w:eastAsia="宋体" w:cs="Arial"/>
          <w:bCs/>
          <w:color w:val="000000"/>
          <w:szCs w:val="22"/>
          <w:highlight w:val="none"/>
        </w:rPr>
        <w:t xml:space="preserve">八、</w:t>
      </w:r>
      <w:bookmarkEnd w:id="106"/>
      <w:r/>
      <w:bookmarkEnd w:id="107"/>
      <w:r/>
      <w:bookmarkEnd w:id="108"/>
      <w:r/>
      <w:bookmarkEnd w:id="109"/>
      <w:r/>
      <w:bookmarkStart w:id="110" w:name="_Toc12263"/>
      <w:r/>
      <w:bookmarkStart w:id="111" w:name="_Toc31888"/>
      <w:r/>
      <w:bookmarkStart w:id="112" w:name="_Toc81575163"/>
      <w:r/>
      <w:bookmarkStart w:id="113" w:name="_Toc81575200"/>
      <w:r>
        <w:rPr>
          <w:rFonts w:hint="eastAsia" w:eastAsia="宋体" w:cs="Arial"/>
          <w:bCs/>
          <w:color w:val="000000"/>
          <w:szCs w:val="22"/>
          <w:highlight w:val="none"/>
        </w:rPr>
        <w:t xml:space="preserve">质疑与投诉</w:t>
      </w:r>
      <w:bookmarkEnd w:id="110"/>
      <w:r/>
      <w:bookmarkEnd w:id="111"/>
      <w:r/>
      <w:bookmarkEnd w:id="112"/>
      <w:r/>
      <w:bookmarkEnd w:id="113"/>
      <w:r>
        <w:rPr>
          <w:rFonts w:hint="eastAsia" w:eastAsia="宋体" w:cs="Arial"/>
          <w:bCs/>
          <w:color w:val="000000"/>
          <w:szCs w:val="22"/>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rPr>
          <w:rFonts w:hint="eastAsia" w:ascii="Times New Roman" w:hAnsi="Times New Roman" w:cs="仿宋"/>
          <w:b/>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14" w:name="OLE_LINK2"/>
      <w:r>
        <w:rPr>
          <w:rFonts w:hint="eastAsia" w:ascii="Times New Roman" w:hAnsi="Times New Roman" w:cs="仿宋"/>
          <w:b/>
          <w:bCs/>
          <w:color w:val="000000"/>
          <w:sz w:val="24"/>
          <w:highlight w:val="none"/>
        </w:rPr>
        <w:t xml:space="preserve">登录“苏采云”系统，从“项目质疑申请”模块向采购人提出质疑</w:t>
      </w:r>
      <w:bookmarkEnd w:id="114"/>
      <w:r>
        <w:rPr>
          <w:rFonts w:hint="eastAsia" w:ascii="Times New Roman" w:hAnsi="Times New Roman" w:cs="仿宋"/>
          <w:b/>
          <w:bCs/>
          <w:color w:val="000000"/>
          <w:sz w:val="24"/>
          <w:highlight w:val="none"/>
        </w:rPr>
        <w:t xml:space="preserve">。</w:t>
      </w:r>
      <w:bookmarkStart w:id="115" w:name="OLE_LINK1"/>
      <w:r>
        <w:rPr>
          <w:rFonts w:hint="eastAsia" w:ascii="Times New Roman" w:hAnsi="Times New Roman" w:cs="仿宋"/>
          <w:color w:val="000000"/>
          <w:sz w:val="24"/>
          <w:highlight w:val="none"/>
        </w:rPr>
        <w:t xml:space="preserve">质疑联系部门、联系电话、通讯地址详见采购公告。</w:t>
      </w:r>
      <w:bookmarkEnd w:id="115"/>
      <w:r>
        <w:rPr>
          <w:rFonts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color w:val="000000"/>
          <w:sz w:val="24"/>
          <w:highlight w:val="none"/>
        </w:rPr>
      </w:r>
      <w:r/>
    </w:p>
    <w:p>
      <w:pPr>
        <w:pStyle w:val="822"/>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rPr>
          <w:rFonts w:hint="eastAsia" w:ascii="Times New Roman" w:hAnsi="Times New Roman" w:cs="仿宋"/>
          <w:color w:val="000000"/>
          <w:sz w:val="24"/>
          <w:highlight w:val="none"/>
        </w:rPr>
      </w:r>
      <w:r/>
    </w:p>
    <w:p>
      <w:pPr>
        <w:pStyle w:val="822"/>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rPr>
          <w:rFonts w:hint="eastAsia" w:ascii="Times New Roman" w:hAnsi="Times New Roman" w:cs="仿宋"/>
          <w:b/>
          <w:color w:val="000000"/>
          <w:sz w:val="24"/>
          <w:highlight w:val="none"/>
        </w:rPr>
      </w:r>
      <w:r/>
    </w:p>
    <w:p>
      <w:pPr>
        <w:pStyle w:val="822"/>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color w:val="000000"/>
          <w:sz w:val="24"/>
          <w:highlight w:val="none"/>
        </w:rPr>
      </w:r>
      <w:r/>
    </w:p>
    <w:p>
      <w:pPr>
        <w:pStyle w:val="823"/>
        <w:jc w:val="center"/>
        <w:spacing w:before="200"/>
        <w:rPr>
          <w:color w:val="000000"/>
          <w:highlight w:val="none"/>
        </w:rPr>
      </w:pPr>
      <w:r/>
      <w:bookmarkStart w:id="116" w:name="EB4d341233595e4bf8ad7006b4bd78d974"/>
      <w:r/>
      <w:bookmarkEnd w:id="116"/>
      <w:r/>
      <w:bookmarkStart w:id="117" w:name="_Toc81575164"/>
      <w:r/>
      <w:bookmarkStart w:id="118" w:name="_Toc81575201"/>
      <w:r/>
      <w:bookmarkStart w:id="119" w:name="_Hlk166141273"/>
      <w:r>
        <w:rPr>
          <w:rFonts w:hint="eastAsia"/>
          <w:color w:val="000000"/>
          <w:highlight w:val="none"/>
        </w:rPr>
        <w:br w:type="page" w:clear="all"/>
      </w:r>
      <w:bookmarkStart w:id="120" w:name="_Toc17996"/>
      <w:r>
        <w:rPr>
          <w:rFonts w:hint="eastAsia" w:ascii="Calibri" w:hAnsi="Calibri" w:eastAsia="宋体" w:cs="Times New Roman"/>
          <w:b/>
          <w:color w:val="000000"/>
          <w:sz w:val="44"/>
          <w:szCs w:val="44"/>
          <w:highlight w:val="none"/>
        </w:rPr>
        <w:t xml:space="preserve">第三章  资格审查及评标</w:t>
      </w:r>
      <w:bookmarkEnd w:id="117"/>
      <w:r/>
      <w:bookmarkEnd w:id="118"/>
      <w:r/>
      <w:bookmarkEnd w:id="120"/>
      <w:r>
        <w:rPr>
          <w:rFonts w:hint="eastAsia" w:ascii="Calibri" w:hAnsi="Calibri" w:eastAsia="宋体" w:cs="Times New Roman"/>
          <w:b/>
          <w:color w:val="000000"/>
          <w:sz w:val="44"/>
          <w:szCs w:val="44"/>
          <w:highlight w:val="none"/>
        </w:rPr>
        <w:t xml:space="preserve">方法</w:t>
      </w:r>
      <w:r>
        <w:rPr>
          <w:color w:val="000000"/>
          <w:highlight w:val="none"/>
        </w:rPr>
      </w:r>
      <w:r/>
    </w:p>
    <w:p>
      <w:pPr>
        <w:pStyle w:val="822"/>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rPr>
          <w:rFonts w:ascii="Times New Roman" w:hAnsi="Times New Roman" w:cs="仿宋"/>
          <w:b/>
          <w:bCs/>
          <w:color w:val="000000"/>
          <w:sz w:val="24"/>
          <w:highlight w:val="none"/>
        </w:rPr>
      </w:r>
      <w:r/>
    </w:p>
    <w:p>
      <w:pPr>
        <w:pStyle w:val="822"/>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rPr>
          <w:rFonts w:hint="eastAsia" w:ascii="Times New Roman" w:hAnsi="Times New Roman" w:cs="仿宋"/>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rPr>
                <w:rFonts w:hint="eastAsia" w:ascii="Times New Roman" w:hAnsi="Times New Roman" w:cs="仿宋"/>
                <w:color w:val="000000"/>
                <w:highlight w:val="none"/>
              </w:rPr>
            </w:r>
            <w:r/>
          </w:p>
        </w:tc>
        <w:tc>
          <w:tcPr>
            <w:tcW w:w="4246"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rPr>
                <w:rFonts w:hint="eastAsia" w:ascii="Times New Roman" w:hAnsi="Times New Roman" w:cs="仿宋"/>
                <w:color w:val="000000"/>
                <w:highlight w:val="none"/>
              </w:rPr>
            </w:r>
            <w:r/>
          </w:p>
        </w:tc>
        <w:tc>
          <w:tcPr>
            <w:tcW w:w="4246"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rPr>
                <w:rFonts w:hint="eastAsia" w:ascii="Times New Roman" w:hAnsi="Times New Roman" w:cs="仿宋"/>
                <w:color w:val="000000"/>
                <w:highlight w:val="none"/>
              </w:rPr>
            </w:r>
            <w:r/>
          </w:p>
        </w:tc>
        <w:tc>
          <w:tcPr>
            <w:tcW w:w="4246"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2"/>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投标代理人</w:t>
            </w:r>
            <w:r>
              <w:rPr>
                <w:rFonts w:hint="eastAsia" w:ascii="Times New Roman" w:hAnsi="Times New Roman" w:cs="仿宋"/>
                <w:color w:val="000000"/>
                <w:highlight w:val="none"/>
                <w:lang w:eastAsia="zh-CN"/>
              </w:rPr>
              <w:t xml:space="preserve">（</w:t>
            </w:r>
            <w:r>
              <w:rPr>
                <w:rFonts w:hint="eastAsia" w:ascii="Times New Roman" w:hAnsi="Times New Roman" w:cs="仿宋"/>
                <w:color w:val="000000"/>
                <w:highlight w:val="none"/>
              </w:rPr>
              <w:t xml:space="preserve">授权委托人）资格要求</w:t>
            </w:r>
            <w:r>
              <w:rPr>
                <w:rFonts w:hint="eastAsia" w:ascii="Times New Roman" w:hAnsi="Times New Roman" w:cs="仿宋"/>
                <w:color w:val="000000"/>
                <w:sz w:val="21"/>
                <w:szCs w:val="22"/>
                <w:highlight w:val="none"/>
                <w:lang w:val="en-US" w:eastAsia="zh-CN" w:bidi="ar-SA"/>
              </w:rPr>
            </w:r>
            <w:r/>
          </w:p>
        </w:tc>
        <w:tc>
          <w:tcPr>
            <w:tcW w:w="4246" w:type="dxa"/>
            <w:vAlign w:val="center"/>
            <w:textDirection w:val="lrTb"/>
            <w:noWrap w:val="false"/>
          </w:tcPr>
          <w:p>
            <w:pPr>
              <w:pStyle w:val="822"/>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sz w:val="21"/>
                <w:szCs w:val="22"/>
                <w:highlight w:val="none"/>
                <w:lang w:val="en-US" w:eastAsia="zh-CN" w:bidi="ar-SA"/>
              </w:rPr>
            </w:r>
            <w:r/>
          </w:p>
        </w:tc>
      </w:tr>
      <w:tr>
        <w:trPr/>
        <w:tc>
          <w:tcPr>
            <w:tcW w:w="4422" w:type="dxa"/>
            <w:vAlign w:val="center"/>
            <w:textDirection w:val="lrTb"/>
            <w:noWrap w:val="false"/>
          </w:tcPr>
          <w:p>
            <w:pPr>
              <w:pStyle w:val="822"/>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中小企业或残疾人福利性单位声明函，或监狱企业证明文件</w:t>
            </w:r>
            <w:r>
              <w:rPr>
                <w:rFonts w:hint="eastAsia" w:ascii="Times New Roman" w:hAnsi="Times New Roman" w:eastAsia="宋体" w:cs="仿宋"/>
                <w:color w:val="000000"/>
                <w:highlight w:val="none"/>
                <w:lang w:val="en-US" w:eastAsia="zh-CN"/>
              </w:rPr>
            </w:r>
            <w:r/>
          </w:p>
        </w:tc>
        <w:tc>
          <w:tcPr>
            <w:tcW w:w="4246" w:type="dxa"/>
            <w:vAlign w:val="center"/>
            <w:textDirection w:val="lrTb"/>
            <w:noWrap w:val="false"/>
          </w:tcPr>
          <w:p>
            <w:pPr>
              <w:pStyle w:val="822"/>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rPr>
                <w:rFonts w:hint="eastAsia" w:ascii="Times New Roman" w:hAnsi="Times New Roman" w:eastAsia="宋体" w:cs="仿宋"/>
                <w:color w:val="000000"/>
                <w:highlight w:val="none"/>
                <w:lang w:val="en-US" w:eastAsia="zh-CN"/>
              </w:rPr>
            </w:r>
            <w:r/>
          </w:p>
        </w:tc>
      </w:tr>
    </w:tbl>
    <w:p>
      <w:pPr>
        <w:pStyle w:val="822"/>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rPr>
          <w:rFonts w:ascii="Times New Roman" w:hAnsi="Times New Roman" w:cs="仿宋"/>
          <w:b/>
          <w:bCs/>
          <w:color w:val="000000"/>
          <w:sz w:val="24"/>
          <w:highlight w:val="none"/>
        </w:rPr>
      </w:r>
      <w:r/>
    </w:p>
    <w:p>
      <w:pPr>
        <w:pStyle w:val="822"/>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rPr>
          <w:rFonts w:ascii="方正仿宋_GBK" w:eastAsia="方正仿宋_GBK"/>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rPr>
                <w:rFonts w:hint="eastAsia" w:ascii="Times New Roman" w:hAnsi="Times New Roman" w:cs="仿宋"/>
                <w:color w:val="000000"/>
                <w:highlight w:val="none"/>
              </w:rPr>
            </w:r>
            <w:r/>
          </w:p>
        </w:tc>
        <w:tc>
          <w:tcPr>
            <w:tcW w:w="4304"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364" w:type="dxa"/>
            <w:vAlign w:val="center"/>
            <w:textDirection w:val="lrTb"/>
            <w:noWrap w:val="false"/>
          </w:tcPr>
          <w:p>
            <w:pPr>
              <w:pStyle w:val="822"/>
              <w:jc w:val="center"/>
              <w:spacing w:line="480" w:lineRule="exact"/>
              <w:rPr>
                <w:rFonts w:ascii="Times New Roman" w:hAnsi="Times New Roman" w:cs="仿宋"/>
                <w:color w:val="000000"/>
                <w:highlight w:val="none"/>
              </w:rPr>
            </w:pPr>
            <w:r>
              <w:rPr>
                <w:color w:val="000000"/>
                <w:szCs w:val="22"/>
                <w:highlight w:val="none"/>
              </w:rPr>
              <w:t xml:space="preserve">法定代表人身份证明或授权委托书</w:t>
            </w:r>
            <w:r>
              <w:rPr>
                <w:rFonts w:ascii="Times New Roman" w:hAnsi="Times New Roman" w:cs="仿宋"/>
                <w:color w:val="000000"/>
                <w:highlight w:val="none"/>
              </w:rPr>
            </w:r>
            <w:r/>
          </w:p>
        </w:tc>
        <w:tc>
          <w:tcPr>
            <w:tcW w:w="4304"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822"/>
              <w:jc w:val="center"/>
              <w:spacing w:line="480" w:lineRule="exact"/>
              <w:rPr>
                <w:rFonts w:hint="eastAsia" w:ascii="Calibri" w:hAnsi="Calibri" w:eastAsia="宋体" w:cs="Times New Roman"/>
                <w:color w:val="000000"/>
                <w:sz w:val="21"/>
                <w:szCs w:val="22"/>
                <w:highlight w:val="none"/>
                <w:lang w:val="en-US" w:eastAsia="zh-CN" w:bidi="ar-SA"/>
              </w:rPr>
            </w:pPr>
            <w:r>
              <w:rPr>
                <w:color w:val="000000"/>
                <w:szCs w:val="22"/>
                <w:highlight w:val="none"/>
              </w:rPr>
              <w:t xml:space="preserve">技术标准和要求</w:t>
            </w:r>
            <w:r>
              <w:rPr>
                <w:rFonts w:hint="eastAsia" w:ascii="Calibri" w:hAnsi="Calibri" w:eastAsia="宋体" w:cs="Times New Roman"/>
                <w:color w:val="000000"/>
                <w:sz w:val="21"/>
                <w:szCs w:val="22"/>
                <w:highlight w:val="none"/>
                <w:lang w:val="en-US" w:eastAsia="zh-CN" w:bidi="ar-SA"/>
              </w:rPr>
            </w:r>
            <w:r/>
          </w:p>
        </w:tc>
        <w:tc>
          <w:tcPr>
            <w:tcW w:w="4304" w:type="dxa"/>
            <w:vAlign w:val="center"/>
            <w:textDirection w:val="lrTb"/>
            <w:noWrap w:val="false"/>
          </w:tcPr>
          <w:p>
            <w:pPr>
              <w:pStyle w:val="822"/>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rPr>
                <w:rFonts w:hint="eastAsia" w:ascii="Times New Roman" w:hAnsi="Times New Roman" w:eastAsia="宋体" w:cs="仿宋"/>
                <w:color w:val="000000"/>
                <w:sz w:val="21"/>
                <w:szCs w:val="22"/>
                <w:highlight w:val="none"/>
                <w:lang w:val="en-US" w:eastAsia="zh-CN" w:bidi="ar-SA"/>
              </w:rPr>
            </w:r>
            <w:r/>
          </w:p>
        </w:tc>
      </w:tr>
      <w:tr>
        <w:trPr/>
        <w:tc>
          <w:tcPr>
            <w:tcW w:w="4364"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rPr>
                <w:rFonts w:hint="eastAsia" w:ascii="Times New Roman" w:hAnsi="Times New Roman" w:cs="仿宋"/>
                <w:color w:val="000000"/>
                <w:highlight w:val="none"/>
              </w:rPr>
            </w:r>
            <w:r/>
          </w:p>
        </w:tc>
        <w:tc>
          <w:tcPr>
            <w:tcW w:w="4304" w:type="dxa"/>
            <w:vAlign w:val="center"/>
            <w:textDirection w:val="lrTb"/>
            <w:noWrap w:val="false"/>
          </w:tcPr>
          <w:p>
            <w:pPr>
              <w:pStyle w:val="822"/>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bl>
    <w:p>
      <w:pPr>
        <w:pStyle w:val="822"/>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rPr>
          <w:rFonts w:ascii="Times New Roman" w:hAnsi="Times New Roman" w:cs="仿宋"/>
          <w:b/>
          <w:bCs/>
          <w:color w:val="000000"/>
          <w:sz w:val="24"/>
          <w:highlight w:val="none"/>
        </w:rPr>
      </w:r>
      <w:r/>
    </w:p>
    <w:p>
      <w:pPr>
        <w:pStyle w:val="822"/>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rPr>
          <w:rFonts w:ascii="Times New Roman" w:hAnsi="Times New Roman" w:cs="仿宋"/>
          <w:color w:val="000000"/>
          <w:sz w:val="24"/>
          <w:highlight w:val="none"/>
        </w:rPr>
      </w:r>
      <w:r/>
    </w:p>
    <w:p>
      <w:pPr>
        <w:pStyle w:val="822"/>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822"/>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rPr>
          <w:rFonts w:hint="eastAsia" w:ascii="Times New Roman" w:hAnsi="Times New Roman" w:cs="仿宋"/>
          <w:color w:val="000000"/>
          <w:sz w:val="24"/>
          <w:highlight w:val="none"/>
        </w:rPr>
      </w:r>
      <w:r/>
    </w:p>
    <w:p>
      <w:pPr>
        <w:pStyle w:val="822"/>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四</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评标标准</w:t>
      </w:r>
      <w:r>
        <w:rPr>
          <w:rFonts w:hint="eastAsia" w:ascii="Times New Roman" w:hAnsi="Times New Roman" w:cs="仿宋"/>
          <w:b/>
          <w:bCs/>
          <w:color w:val="000000"/>
          <w:sz w:val="24"/>
          <w:highlight w:val="none"/>
        </w:rPr>
      </w:r>
      <w:r/>
    </w:p>
    <w:tbl>
      <w:tblPr>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9"/>
        <w:gridCol w:w="1175"/>
        <w:gridCol w:w="953"/>
        <w:gridCol w:w="5051"/>
      </w:tblGrid>
      <w:tr>
        <w:trPr>
          <w:trHeight w:val="717"/>
        </w:trPr>
        <w:tc>
          <w:tcPr>
            <w:gridSpan w:val="2"/>
            <w:tcW w:w="2354"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rPr>
                <w:rFonts w:hint="eastAsia" w:ascii="宋体" w:hAnsi="宋体" w:eastAsia="宋体" w:cs="宋体"/>
                <w:sz w:val="24"/>
                <w:szCs w:val="24"/>
              </w:rPr>
            </w:r>
            <w:r/>
          </w:p>
        </w:tc>
        <w:tc>
          <w:tcPr>
            <w:tcW w:w="953"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t xml:space="preserve">分数</w:t>
            </w:r>
            <w:r>
              <w:rPr>
                <w:rFonts w:hint="eastAsia" w:ascii="宋体" w:hAnsi="宋体" w:eastAsia="宋体" w:cs="宋体"/>
                <w:sz w:val="24"/>
                <w:szCs w:val="24"/>
              </w:rPr>
            </w:r>
            <w:r/>
          </w:p>
        </w:tc>
        <w:tc>
          <w:tcPr>
            <w:tcW w:w="5051"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r>
      <w:tr>
        <w:trPr>
          <w:trHeight w:val="1370"/>
        </w:trPr>
        <w:tc>
          <w:tcPr>
            <w:tcW w:w="1179" w:type="dxa"/>
            <w:vAlign w:val="center"/>
            <w:textDirection w:val="lrTb"/>
            <w:noWrap w:val="false"/>
          </w:tcPr>
          <w:p>
            <w:pPr>
              <w:pStyle w:val="822"/>
              <w:jc w:val="left"/>
              <w:rPr>
                <w:rFonts w:hint="eastAsia" w:ascii="宋体" w:hAnsi="宋体" w:eastAsia="宋体" w:cs="宋体"/>
                <w:sz w:val="24"/>
                <w:szCs w:val="24"/>
                <w:lang w:eastAsia="zh-CN"/>
              </w:rPr>
            </w:pPr>
            <w:r>
              <w:rPr>
                <w:rFonts w:hint="eastAsia" w:ascii="宋体" w:hAnsi="宋体" w:eastAsia="宋体" w:cs="宋体"/>
                <w:sz w:val="24"/>
                <w:szCs w:val="24"/>
              </w:rPr>
              <w:t xml:space="preserve">报价分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r>
            <w:r/>
          </w:p>
        </w:tc>
      </w:tr>
      <w:tr>
        <w:trPr/>
        <w:tc>
          <w:tcPr>
            <w:tcW w:w="1179" w:type="dxa"/>
            <w:vAlign w:val="center"/>
            <w:vMerge w:val="restart"/>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企业经营业绩、信誉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21分</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企业业绩</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12.00分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lang w:val="en-US" w:eastAsia="zh-CN"/>
              </w:rPr>
              <w:t xml:space="preserve">投标人</w:t>
            </w:r>
            <w:r>
              <w:rPr>
                <w:rFonts w:hint="eastAsia" w:ascii="宋体" w:hAnsi="宋体" w:eastAsia="宋体" w:cs="宋体"/>
                <w:sz w:val="24"/>
                <w:szCs w:val="24"/>
              </w:rPr>
              <w:t xml:space="preserve">自2022年1月1日以来（以合同签订时间为准）具有土壤环境调查评估或土壤污染状况调查项目</w:t>
            </w:r>
            <w:r>
              <w:rPr>
                <w:rFonts w:hint="eastAsia" w:ascii="宋体" w:hAnsi="宋体" w:cs="宋体"/>
                <w:color w:val="000000"/>
                <w:sz w:val="24"/>
                <w:szCs w:val="24"/>
                <w:lang w:val="en-US" w:eastAsia="zh-CN"/>
              </w:rPr>
              <w:t xml:space="preserve">等与本项目</w:t>
            </w:r>
            <w:r>
              <w:rPr>
                <w:rFonts w:hint="eastAsia" w:ascii="宋体" w:hAnsi="宋体" w:eastAsia="宋体" w:cs="宋体"/>
                <w:sz w:val="24"/>
                <w:szCs w:val="24"/>
              </w:rPr>
              <w:t xml:space="preserve">类似业绩的，每有一个得3分，最高得12分。注：响应文件中提供中标（成交）通知书</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合同等证明材料</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rPr>
              <w:t xml:space="preserve">件，且业绩合同中主要内容、标的、金额等清晰可见，否则该业绩不得分。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相关证书</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3.00分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lang w:val="en-US" w:eastAsia="zh-CN"/>
              </w:rPr>
              <w:t xml:space="preserve">投标人</w:t>
            </w:r>
            <w:r>
              <w:rPr>
                <w:rFonts w:hint="eastAsia" w:ascii="宋体" w:hAnsi="宋体" w:eastAsia="宋体" w:cs="宋体"/>
                <w:sz w:val="24"/>
                <w:szCs w:val="24"/>
              </w:rPr>
              <w:t xml:space="preserve">具有有效期内的质量管理体系认证证书、环境管理体系认证证书、职业健康管理体系认证证书，每提供一个得1分，最高得3分。</w:t>
            </w:r>
            <w:r>
              <w:rPr>
                <w:rFonts w:hint="eastAsia" w:ascii="宋体" w:hAnsi="宋体" w:eastAsia="宋体" w:cs="宋体"/>
                <w:sz w:val="24"/>
                <w:szCs w:val="24"/>
              </w:rPr>
            </w:r>
            <w:r/>
          </w:p>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注：响应文件中提供上述证书</w:t>
            </w:r>
            <w:r>
              <w:rPr>
                <w:rFonts w:hint="eastAsia" w:ascii="宋体" w:hAnsi="宋体" w:eastAsia="宋体" w:cs="宋体"/>
                <w:sz w:val="24"/>
                <w:szCs w:val="24"/>
                <w:lang w:val="en-US" w:eastAsia="zh-CN"/>
              </w:rPr>
              <w:t xml:space="preserve">原件扫描</w:t>
            </w:r>
            <w:r>
              <w:rPr>
                <w:rFonts w:hint="eastAsia" w:ascii="宋体" w:hAnsi="宋体" w:eastAsia="宋体" w:cs="宋体"/>
                <w:sz w:val="24"/>
                <w:szCs w:val="24"/>
              </w:rPr>
              <w:t xml:space="preserve">件，否则不得分。</w:t>
            </w:r>
            <w:r>
              <w:rPr>
                <w:rFonts w:hint="eastAsia" w:ascii="宋体" w:hAnsi="宋体" w:eastAsia="宋体" w:cs="宋体"/>
                <w:sz w:val="24"/>
                <w:szCs w:val="24"/>
              </w:rPr>
            </w:r>
            <w:r/>
          </w:p>
        </w:tc>
      </w:tr>
      <w:tr>
        <w:trPr>
          <w:trHeight w:val="1167"/>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相关奖项、荣誉</w:t>
            </w:r>
            <w:r>
              <w:rPr>
                <w:rFonts w:ascii="宋体" w:hAnsi="宋体" w:eastAsia="宋体" w:cs="宋体"/>
                <w:sz w:val="24"/>
                <w:szCs w:val="24"/>
                <w:lang w:val="en-US" w:eastAsia="zh-CN"/>
              </w:rPr>
            </w:r>
            <w:r/>
          </w:p>
        </w:tc>
        <w:tc>
          <w:tcPr>
            <w:tcW w:w="953" w:type="dxa"/>
            <w:vAlign w:val="center"/>
            <w:textDirection w:val="lrTb"/>
            <w:noWrap w:val="false"/>
          </w:tcPr>
          <w:p>
            <w:pPr>
              <w:pStyle w:val="822"/>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6.00分</w:t>
            </w:r>
            <w:r>
              <w:rPr>
                <w:rFonts w:ascii="宋体" w:hAnsi="宋体" w:eastAsia="宋体" w:cs="宋体"/>
                <w:sz w:val="24"/>
                <w:szCs w:val="24"/>
                <w:lang w:val="en-US" w:eastAsia="zh-CN"/>
              </w:rPr>
            </w:r>
            <w:r/>
          </w:p>
        </w:tc>
        <w:tc>
          <w:tcPr>
            <w:tcW w:w="5051" w:type="dxa"/>
            <w:vAlign w:val="center"/>
            <w:textDirection w:val="lrTb"/>
            <w:noWrap w:val="false"/>
          </w:tcPr>
          <w:p>
            <w:pPr>
              <w:pStyle w:val="822"/>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投标人自2022</w:t>
            </w:r>
            <w:r>
              <w:rPr>
                <w:rFonts w:hint="eastAsia" w:ascii="宋体" w:hAnsi="宋体" w:eastAsia="宋体" w:cs="宋体"/>
                <w:sz w:val="24"/>
                <w:szCs w:val="24"/>
              </w:rPr>
              <w:t xml:space="preserve">年1月1日以来</w:t>
            </w:r>
            <w:r>
              <w:rPr>
                <w:rFonts w:ascii="宋体" w:hAnsi="宋体" w:eastAsia="宋体" w:cs="宋体"/>
                <w:sz w:val="24"/>
                <w:szCs w:val="24"/>
              </w:rPr>
              <w:t xml:space="preserve">获得省部级及以上政府部门颁发</w:t>
            </w:r>
            <w:r>
              <w:rPr>
                <w:rFonts w:ascii="宋体" w:hAnsi="宋体" w:eastAsia="宋体" w:cs="宋体"/>
                <w:color w:val="000000"/>
                <w:sz w:val="24"/>
              </w:rPr>
              <w:t xml:space="preserve">的与土壤或地下水等本项目相关的荣誉、奖项的，有一个得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ascii="宋体" w:hAnsi="宋体" w:eastAsia="宋体" w:cs="宋体"/>
                <w:sz w:val="24"/>
                <w:szCs w:val="24"/>
              </w:rPr>
              <w:t xml:space="preserve">获得市厅级的</w:t>
            </w:r>
            <w:r>
              <w:rPr>
                <w:rFonts w:hint="eastAsia" w:ascii="宋体" w:hAnsi="宋体" w:eastAsia="宋体" w:cs="宋体"/>
                <w:sz w:val="24"/>
                <w:szCs w:val="24"/>
                <w:lang w:eastAsia="zh-CN"/>
              </w:rPr>
              <w:t xml:space="preserve">，</w:t>
            </w:r>
            <w:r>
              <w:rPr>
                <w:rFonts w:ascii="宋体" w:hAnsi="宋体" w:eastAsia="宋体" w:cs="宋体"/>
                <w:color w:val="000000"/>
                <w:sz w:val="24"/>
              </w:rPr>
              <w:t xml:space="preserve">有一个</w:t>
            </w:r>
            <w:r>
              <w:rPr>
                <w:rFonts w:ascii="宋体" w:hAnsi="宋体" w:eastAsia="宋体" w:cs="宋体"/>
                <w:sz w:val="24"/>
                <w:szCs w:val="24"/>
              </w:rPr>
              <w:t xml:space="preserve">得</w:t>
            </w:r>
            <w:r>
              <w:rPr>
                <w:rFonts w:hint="eastAsia" w:ascii="宋体" w:hAnsi="宋体" w:eastAsia="宋体" w:cs="宋体"/>
                <w:sz w:val="24"/>
                <w:szCs w:val="24"/>
              </w:rPr>
              <w:t xml:space="preserve">1</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w:t>
            </w:r>
            <w:r>
              <w:rPr>
                <w:rFonts w:hint="eastAsia" w:ascii="宋体" w:hAnsi="宋体" w:eastAsia="宋体" w:cs="宋体"/>
                <w:color w:val="000000"/>
                <w:sz w:val="24"/>
                <w:lang w:val="en-US" w:eastAsia="zh-CN"/>
              </w:rPr>
              <w:t xml:space="preserve">最高得6分。</w:t>
            </w:r>
            <w:r>
              <w:rPr>
                <w:rFonts w:hint="eastAsia" w:ascii="宋体" w:hAnsi="宋体" w:eastAsia="宋体" w:cs="宋体"/>
                <w:color w:val="000000"/>
                <w:sz w:val="24"/>
              </w:rPr>
            </w:r>
            <w:r/>
          </w:p>
          <w:p>
            <w:pPr>
              <w:pStyle w:val="822"/>
              <w:jc w:val="left"/>
              <w:rPr>
                <w:rFonts w:hint="eastAsia" w:ascii="宋体" w:hAnsi="宋体" w:eastAsia="宋体" w:cs="宋体"/>
                <w:color w:val="000000"/>
                <w:sz w:val="24"/>
              </w:rPr>
            </w:pPr>
            <w:r>
              <w:rPr>
                <w:rFonts w:hint="eastAsia" w:ascii="宋体" w:hAnsi="宋体" w:eastAsia="宋体" w:cs="宋体"/>
                <w:color w:val="000000"/>
                <w:sz w:val="24"/>
              </w:rPr>
              <w:t xml:space="preserve">注：提供</w:t>
            </w:r>
            <w:r>
              <w:rPr>
                <w:rFonts w:ascii="宋体" w:hAnsi="宋体" w:eastAsia="宋体" w:cs="宋体"/>
                <w:color w:val="000000"/>
                <w:sz w:val="24"/>
              </w:rPr>
              <w:t xml:space="preserve">荣誉、奖项</w:t>
            </w:r>
            <w:r>
              <w:rPr>
                <w:rFonts w:hint="eastAsia" w:ascii="宋体" w:hAnsi="宋体" w:eastAsia="宋体" w:cs="宋体"/>
                <w:color w:val="000000"/>
                <w:sz w:val="24"/>
              </w:rPr>
              <w:t xml:space="preserve">扫描件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同一项目获得不同奖项的，只计取一次得分。未提供、提供上述材料不全、提供材料模糊不清无法辨认的不得分。</w:t>
            </w:r>
            <w:r>
              <w:rPr>
                <w:rFonts w:hint="eastAsia" w:ascii="宋体" w:hAnsi="宋体" w:eastAsia="宋体" w:cs="宋体"/>
                <w:color w:val="000000"/>
                <w:sz w:val="24"/>
              </w:rPr>
            </w:r>
            <w:r/>
          </w:p>
        </w:tc>
      </w:tr>
      <w:tr>
        <w:trPr/>
        <w:tc>
          <w:tcPr>
            <w:tcW w:w="1179" w:type="dxa"/>
            <w:vAlign w:val="center"/>
            <w:vMerge w:val="restart"/>
            <w:textDirection w:val="lrTb"/>
            <w:noWrap w:val="false"/>
          </w:tcPr>
          <w:p>
            <w:pPr>
              <w:pStyle w:val="822"/>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15分</w:t>
            </w:r>
            <w:r>
              <w:rPr>
                <w:rFonts w:hint="eastAsia" w:ascii="宋体" w:hAnsi="宋体" w:eastAsia="宋体" w:cs="宋体"/>
                <w:sz w:val="24"/>
                <w:szCs w:val="24"/>
                <w:lang w:eastAsia="zh-CN"/>
              </w:rPr>
              <w:t xml:space="preserve">）</w:t>
            </w:r>
            <w:r>
              <w:rPr>
                <w:rFonts w:ascii="宋体" w:hAnsi="宋体" w:eastAsia="宋体" w:cs="宋体"/>
                <w:sz w:val="24"/>
                <w:szCs w:val="24"/>
                <w:lang w:val="en-US" w:eastAsia="zh-CN"/>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1、项目负责人具有环境保护类或土壤类</w:t>
            </w:r>
            <w:r>
              <w:rPr>
                <w:rFonts w:hint="eastAsia" w:ascii="宋体" w:hAnsi="宋体" w:eastAsia="宋体" w:cs="宋体"/>
                <w:sz w:val="24"/>
                <w:szCs w:val="24"/>
                <w:lang w:val="en-US" w:eastAsia="zh-CN"/>
              </w:rPr>
              <w:t xml:space="preserve">或地质类</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相关专业的高级职称</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color w:val="000000"/>
                <w:sz w:val="24"/>
                <w:szCs w:val="24"/>
                <w:highlight w:val="none"/>
                <w:lang w:val="en-US" w:eastAsia="zh-CN"/>
              </w:rPr>
              <w:t xml:space="preserve">中级职称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具有注册环境影响评价工程师证书的，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2、项目负责人承担过</w:t>
            </w:r>
            <w:r>
              <w:rPr>
                <w:rFonts w:ascii="宋体" w:hAnsi="宋体" w:eastAsia="宋体" w:cs="宋体"/>
                <w:color w:val="000000"/>
                <w:sz w:val="24"/>
              </w:rPr>
              <w:t xml:space="preserve">市级及以上</w:t>
            </w:r>
            <w:r>
              <w:rPr>
                <w:rFonts w:hint="eastAsia" w:ascii="宋体" w:hAnsi="宋体" w:eastAsia="宋体" w:cs="宋体"/>
                <w:sz w:val="24"/>
                <w:szCs w:val="24"/>
              </w:rPr>
              <w:t xml:space="preserve">土壤、地下水污染防治类环保类课题研究的，得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注：1.须提供相关证书及证明资料</w:t>
            </w:r>
            <w:r>
              <w:rPr>
                <w:rFonts w:hint="eastAsia" w:ascii="宋体" w:hAnsi="宋体" w:eastAsia="宋体" w:cs="宋体"/>
                <w:color w:val="000000"/>
                <w:sz w:val="24"/>
              </w:rPr>
              <w:t xml:space="preserve">扫描</w:t>
            </w:r>
            <w:r>
              <w:rPr>
                <w:rFonts w:hint="eastAsia" w:ascii="宋体" w:hAnsi="宋体" w:eastAsia="宋体" w:cs="宋体"/>
                <w:sz w:val="24"/>
                <w:szCs w:val="24"/>
              </w:rPr>
              <w:t xml:space="preserve">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月（含）以来任意一个月为其缴纳社会养老保险证明材料上传至电子投标文件中，否则不得分（专业划分以注册证书或职称证书或学历证书为依据）；</w:t>
            </w:r>
            <w:r>
              <w:rPr>
                <w:rFonts w:hint="eastAsia" w:ascii="宋体" w:hAnsi="宋体" w:eastAsia="宋体" w:cs="宋体"/>
                <w:sz w:val="24"/>
                <w:szCs w:val="24"/>
              </w:rPr>
            </w:r>
            <w:r/>
          </w:p>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2.职称证明以人社部门评审的职称证明为准（如非人社部门评审的，须提供评审单位的人社部门核准备案证明，否则不予认可）。</w:t>
            </w:r>
            <w:r>
              <w:rPr>
                <w:rFonts w:hint="eastAsia" w:ascii="宋体" w:hAnsi="宋体" w:eastAsia="宋体" w:cs="宋体"/>
                <w:sz w:val="24"/>
                <w:szCs w:val="24"/>
              </w:rPr>
            </w:r>
            <w:r/>
          </w:p>
        </w:tc>
      </w:tr>
      <w:tr>
        <w:trPr>
          <w:trHeight w:val="960"/>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项目组人员</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.00分</w:t>
            </w:r>
            <w:r>
              <w:rPr>
                <w:rFonts w:hint="eastAsia" w:ascii="宋体" w:hAnsi="宋体" w:eastAsia="宋体" w:cs="宋体"/>
                <w:sz w:val="24"/>
                <w:szCs w:val="24"/>
              </w:rPr>
            </w:r>
            <w:r/>
          </w:p>
        </w:tc>
        <w:tc>
          <w:tcPr>
            <w:tcW w:w="5051" w:type="dxa"/>
            <w:vAlign w:val="center"/>
            <w:textDirection w:val="lrTb"/>
            <w:noWrap w:val="false"/>
          </w:tcPr>
          <w:p>
            <w:pPr>
              <w:pStyle w:val="822"/>
              <w:rPr>
                <w:rFonts w:hint="eastAsia" w:ascii="宋体" w:hAnsi="宋体" w:eastAsia="宋体" w:cs="宋体"/>
                <w:sz w:val="24"/>
                <w:szCs w:val="24"/>
              </w:rPr>
            </w:pPr>
            <w:r>
              <w:rPr>
                <w:rFonts w:hint="eastAsia" w:ascii="宋体" w:hAnsi="宋体" w:eastAsia="宋体" w:cs="宋体"/>
                <w:sz w:val="24"/>
                <w:szCs w:val="24"/>
              </w:rPr>
              <w:t xml:space="preserve">1、拟派的项目组成员（项目负责人除外）中具有环境保护类或土壤类</w:t>
            </w:r>
            <w:r>
              <w:rPr>
                <w:rFonts w:hint="eastAsia" w:ascii="宋体" w:hAnsi="宋体" w:eastAsia="宋体" w:cs="宋体"/>
                <w:sz w:val="24"/>
                <w:szCs w:val="24"/>
                <w:lang w:val="en-US" w:eastAsia="zh-CN"/>
              </w:rPr>
              <w:t xml:space="preserve">或地质类</w:t>
            </w:r>
            <w:r>
              <w:rPr>
                <w:rFonts w:hint="eastAsia" w:ascii="宋体" w:hAnsi="宋体" w:eastAsia="宋体" w:cs="宋体"/>
                <w:sz w:val="24"/>
                <w:szCs w:val="24"/>
              </w:rPr>
              <w:t xml:space="preserve">等相关专业的高级职称的，</w:t>
            </w:r>
            <w:r>
              <w:rPr>
                <w:rFonts w:hint="eastAsia" w:ascii="宋体" w:hAnsi="宋体" w:eastAsia="宋体" w:cs="宋体"/>
                <w:color w:val="000000"/>
                <w:sz w:val="24"/>
                <w:szCs w:val="24"/>
              </w:rPr>
              <w:t xml:space="preserve">每提供1人得1分，中级职称得0.5分。本项最高得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、项目组人员（项目负责人除外）具有注册环境影响评价工程师证书或注册环保工程师证书的，有一人得1分，最高得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t xml:space="preserve">注：1、以上人员可重复得分；2、上述人员须提供有效期内的相关证书、证明材料等</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rPr>
              <w:t xml:space="preserve">件（专业划分以注册证书或职称证书或学历证书为依据），否则不予计分；3、职称证明以人社部门评审的职称证明为准（如非人社部门评审的，须提供评审单位的人社部门核准备案证明，否则不予认可）；4、供应商须提供自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以来为其办理的任意一个月的社会保险证明资料，否则不予计分。</w:t>
            </w:r>
            <w:r>
              <w:rPr>
                <w:rFonts w:hint="eastAsia" w:ascii="宋体" w:hAnsi="宋体" w:eastAsia="宋体" w:cs="宋体"/>
                <w:sz w:val="24"/>
                <w:szCs w:val="24"/>
              </w:rPr>
            </w:r>
            <w:r/>
          </w:p>
        </w:tc>
      </w:tr>
      <w:tr>
        <w:trPr>
          <w:trHeight w:val="960"/>
        </w:trPr>
        <w:tc>
          <w:tcPr>
            <w:tcW w:w="1179" w:type="dxa"/>
            <w:vAlign w:val="center"/>
            <w:textDirection w:val="lrTb"/>
            <w:noWrap w:val="false"/>
          </w:tcPr>
          <w:p>
            <w:pPr>
              <w:pStyle w:val="822"/>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技术能力（3分）</w:t>
            </w:r>
            <w:r>
              <w:rPr>
                <w:rFonts w:ascii="宋体" w:hAnsi="宋体" w:eastAsia="宋体" w:cs="宋体"/>
                <w:sz w:val="24"/>
                <w:szCs w:val="24"/>
                <w:lang w:val="en-US" w:eastAsia="zh-CN"/>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设施设备</w:t>
            </w:r>
            <w:r>
              <w:rPr>
                <w:rFonts w:hint="eastAsia" w:ascii="宋体" w:hAnsi="宋体" w:eastAsia="宋体" w:cs="宋体"/>
                <w:sz w:val="24"/>
                <w:szCs w:val="24"/>
              </w:rPr>
            </w:r>
            <w:r/>
          </w:p>
        </w:tc>
        <w:tc>
          <w:tcPr>
            <w:tcW w:w="953" w:type="dxa"/>
            <w:vAlign w:val="center"/>
            <w:textDirection w:val="lrTb"/>
            <w:noWrap w:val="false"/>
          </w:tcPr>
          <w:p>
            <w:pPr>
              <w:pStyle w:val="822"/>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3.00分</w:t>
            </w:r>
            <w:r>
              <w:rPr>
                <w:rFonts w:ascii="宋体" w:hAnsi="宋体" w:eastAsia="宋体" w:cs="宋体"/>
                <w:sz w:val="24"/>
                <w:szCs w:val="24"/>
                <w:lang w:val="en-US" w:eastAsia="zh-CN"/>
              </w:rPr>
            </w:r>
            <w:r/>
          </w:p>
        </w:tc>
        <w:tc>
          <w:tcPr>
            <w:tcW w:w="5051" w:type="dxa"/>
            <w:vAlign w:val="center"/>
            <w:textDirection w:val="lrTb"/>
            <w:noWrap w:val="false"/>
          </w:tcPr>
          <w:p>
            <w:pPr>
              <w:pStyle w:val="822"/>
              <w:rPr>
                <w:rFonts w:hint="eastAsia" w:ascii="宋体" w:hAnsi="宋体" w:eastAsia="宋体" w:cs="宋体"/>
                <w:sz w:val="24"/>
                <w:szCs w:val="24"/>
                <w:lang w:val="en-US" w:eastAsia="zh-CN"/>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土壤及地下水一体式专业取样设备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光离子化检测仪（PID）现场快速检测设备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X射线荧光光谱仪（XRF）现场快速检测设备</w:t>
            </w:r>
            <w:r>
              <w:rPr>
                <w:rFonts w:hint="eastAsia" w:ascii="宋体" w:hAnsi="宋体" w:eastAsia="宋体" w:cs="宋体"/>
                <w:sz w:val="24"/>
                <w:szCs w:val="24"/>
                <w:lang w:val="en-US" w:eastAsia="zh-CN"/>
              </w:rPr>
              <w:t xml:space="preserve">的，每有1项设备得1分。本项最高得3分。</w:t>
            </w:r>
            <w:r>
              <w:rPr>
                <w:rFonts w:hint="eastAsia" w:ascii="宋体" w:hAnsi="宋体" w:eastAsia="宋体" w:cs="宋体"/>
                <w:sz w:val="24"/>
                <w:szCs w:val="24"/>
                <w:lang w:val="en-US" w:eastAsia="zh-CN"/>
              </w:rPr>
            </w:r>
            <w:r/>
          </w:p>
          <w:p>
            <w:pPr>
              <w:pStyle w:val="822"/>
              <w:rPr>
                <w:rFonts w:hint="eastAsia" w:ascii="宋体" w:hAnsi="宋体" w:eastAsia="宋体" w:cs="宋体"/>
                <w:sz w:val="24"/>
                <w:szCs w:val="24"/>
                <w:lang w:val="en-US" w:eastAsia="zh-CN"/>
              </w:rPr>
            </w:pPr>
            <w:r>
              <w:rPr>
                <w:rFonts w:ascii="宋体" w:hAnsi="宋体" w:eastAsia="宋体" w:cs="宋体"/>
                <w:b/>
                <w:bCs/>
                <w:color w:val="000000"/>
                <w:sz w:val="24"/>
                <w:szCs w:val="24"/>
              </w:rPr>
              <w:t xml:space="preserve">注：</w:t>
            </w:r>
            <w:r>
              <w:rPr>
                <w:rFonts w:hint="eastAsia" w:ascii="宋体" w:hAnsi="宋体" w:eastAsia="宋体" w:cs="宋体"/>
                <w:b/>
                <w:bCs/>
                <w:color w:val="000000"/>
                <w:sz w:val="24"/>
                <w:szCs w:val="24"/>
              </w:rPr>
              <w:t xml:space="preserve">如为自有设备，须提供设备购置发票的扫描件；如为租赁设备，则提供设备租赁协议及被租赁方的购买发票</w:t>
            </w:r>
            <w:r>
              <w:rPr>
                <w:rFonts w:hint="eastAsia" w:ascii="宋体" w:hAnsi="宋体" w:cs="宋体"/>
                <w:b/>
                <w:bCs/>
                <w:color w:val="000000"/>
                <w:sz w:val="24"/>
                <w:szCs w:val="24"/>
                <w:lang w:eastAsia="zh-CN"/>
              </w:rPr>
              <w:t xml:space="preserve">的</w:t>
            </w:r>
            <w:r>
              <w:rPr>
                <w:rFonts w:hint="eastAsia" w:ascii="宋体" w:hAnsi="宋体" w:eastAsia="宋体" w:cs="宋体"/>
                <w:b/>
                <w:bCs/>
                <w:color w:val="000000"/>
                <w:sz w:val="24"/>
                <w:szCs w:val="24"/>
              </w:rPr>
              <w:t xml:space="preserve">扫描件并加盖公章，否则不得分。</w:t>
            </w:r>
            <w:r>
              <w:rPr>
                <w:rFonts w:hint="eastAsia" w:ascii="宋体" w:hAnsi="宋体" w:eastAsia="宋体" w:cs="宋体"/>
                <w:sz w:val="24"/>
                <w:szCs w:val="24"/>
                <w:lang w:val="en-US" w:eastAsia="zh-CN"/>
              </w:rPr>
            </w:r>
            <w:r/>
          </w:p>
        </w:tc>
      </w:tr>
      <w:tr>
        <w:trPr/>
        <w:tc>
          <w:tcPr>
            <w:tcW w:w="1179" w:type="dxa"/>
            <w:vAlign w:val="center"/>
            <w:vMerge w:val="restart"/>
            <w:textDirection w:val="lrTb"/>
            <w:noWrap w:val="false"/>
          </w:tcPr>
          <w:p>
            <w:pPr>
              <w:pStyle w:val="822"/>
              <w:jc w:val="left"/>
              <w:rPr>
                <w:rFonts w:hint="eastAsia" w:ascii="宋体" w:hAnsi="宋体" w:eastAsia="宋体" w:cs="宋体"/>
                <w:sz w:val="24"/>
                <w:szCs w:val="24"/>
                <w:lang w:eastAsia="zh-CN"/>
              </w:rPr>
            </w:pPr>
            <w:r>
              <w:rPr>
                <w:rFonts w:hint="eastAsia" w:ascii="宋体" w:hAnsi="宋体" w:eastAsia="宋体" w:cs="宋体"/>
                <w:sz w:val="24"/>
                <w:szCs w:val="24"/>
              </w:rPr>
              <w:t xml:space="preserve">项目实施方案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51分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项目概况及现场情况说明</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9.00分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第四章、采购需求—七、项目实施方案—1、项目概况及现场情况说明</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的信息、投标人自行收集的相关资料及现场情况，投标人自行编制项目概况及现场情况说明，情况说明（包括场地及周边的现状、历史、潜在污染源等）等方面进行打分。内容透彻、深入、全面，能够准确反映项目实际情况的且优于项目需求的得9分；内容较透彻、较全面、较符合实际，能够基本描述项目实际情况的且能满足项目需求的得6分；内容不透彻、不全面，描述项目实际情况不详细且但通过后期优化能满足项目需求的得3分；没有内容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工作总体计划、工作内容</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9.00分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第四章、采购需求—七、项目实施方案—2、排定工作总体计划、工作内容</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调查方案编制工作总体计划、工作内容技术路线、评价方法、工期安排、人员安排等方面进行打分。内容合理、切实可行、符合实际的且优于项目需求的得9分；内容较合理、较完善、较符合实际的且能满足项目需求的得6分；内容有缺漏、笼统，条理性不强的且但通过后期优化能满足项目需求的得3分；没有内容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采样及检测方案</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9.00分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第四章、采购需求—七、项目实施方案—3、采样及检测</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点位布设、样品采集、样品筛选、进度计划、检测分析因子等方面进行打分。方案制订详细、全面、针对性强的且优于项目需求的得9分；方案较详细、较全面、有一定针对性的且能满足项目需求的得6分；方案有缺漏、笼统，针对性不强的且但通过后期优化能满足项目需求的得3分；没有内容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调查过程质量保证措施</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第四章、采购需求—七、项目实施方案—4、调查过程质量保证措施</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提供调查过程质量保证措施进行打分。方案措施制订详细、全面、针对性强的且优于项目需求的得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分；方案措施较详细、较全面、有一定针对性的且能满足项目需求的得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分；方案措施有缺漏、笼统，针对性不强的且但通过后期优化能满足项目需求的得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分；没有内容不得分。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二次污染防治措施</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第四章、采购需求—七、项目实施方案—5、二次污染防治措施</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提供防止调查过程中土壤、地下水造成的二次污染防治方案进行打分。方案措施具体、详细，针对性强的且优于项目需求的得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分；方案措施较具体、较可行、有一定针对性的且能满足项目需求的得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分；方案措施有缺漏、笼统，针对性不强的且但通过后期优化能满足项目需求的得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分；没有内容不得分。</w:t>
            </w:r>
            <w:r>
              <w:rPr>
                <w:rFonts w:hint="eastAsia" w:ascii="宋体" w:hAnsi="宋体" w:eastAsia="宋体" w:cs="宋体"/>
                <w:sz w:val="24"/>
                <w:szCs w:val="24"/>
              </w:rPr>
            </w:r>
            <w:r/>
          </w:p>
        </w:tc>
      </w:tr>
      <w:tr>
        <w:trPr/>
        <w:tc>
          <w:tcPr>
            <w:tcW w:w="1179" w:type="dxa"/>
            <w:vAlign w:val="center"/>
            <w:vMerge w:val="continue"/>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953"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.00分</w:t>
            </w:r>
            <w:r>
              <w:rPr>
                <w:rFonts w:hint="eastAsia" w:ascii="宋体" w:hAnsi="宋体" w:eastAsia="宋体" w:cs="宋体"/>
                <w:sz w:val="24"/>
                <w:szCs w:val="24"/>
              </w:rPr>
            </w:r>
            <w:r/>
          </w:p>
        </w:tc>
        <w:tc>
          <w:tcPr>
            <w:tcW w:w="5051" w:type="dxa"/>
            <w:vAlign w:val="center"/>
            <w:textDirection w:val="lrTb"/>
            <w:noWrap w:val="false"/>
          </w:tcPr>
          <w:p>
            <w:pPr>
              <w:pStyle w:val="822"/>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第四章、采购需求—七、项目实施方案—6、售后服务方案</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承诺项目完成后为采购人继续提供合理后期跟踪服务及应急处理方案进行打分。方案详细、服务范围广泛、响应及时、服务体系完整、人员配置齐全得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分；方案详细、服务范围广泛、响应虽有滞后性，服务体系完整，但能基本确保业务稳定运行且人员配置齐全的，得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分；方案略笼统、服务范围狭窄、响应滞后、服务体系虽完整，但人员配置不全且缺乏有效保障业务稳定运行的措施，得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分；没有内容不得分。</w:t>
            </w:r>
            <w:r>
              <w:rPr>
                <w:rFonts w:hint="eastAsia" w:ascii="宋体" w:hAnsi="宋体" w:eastAsia="宋体" w:cs="宋体"/>
                <w:sz w:val="24"/>
                <w:szCs w:val="24"/>
              </w:rPr>
            </w:r>
            <w:r/>
          </w:p>
        </w:tc>
      </w:tr>
    </w:tbl>
    <w:p>
      <w:pPr>
        <w:pStyle w:val="822"/>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5%的，即投标(响应)报价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采购项目最高限价×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相关法律法规对供应商报价有规定的，从其规定。</w:t>
      </w:r>
      <w:r>
        <w:rPr>
          <w:rFonts w:hint="eastAsia" w:ascii="宋体" w:hAnsi="宋体" w:eastAsia="宋体" w:cs="宋体"/>
          <w:b w:val="0"/>
          <w:bCs w:val="0"/>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rPr>
      </w:r>
      <w:r/>
    </w:p>
    <w:p>
      <w:pPr>
        <w:pStyle w:val="822"/>
        <w:ind w:firstLine="480"/>
        <w:jc w:val="left"/>
        <w:spacing w:line="480" w:lineRule="exact"/>
        <w:rPr>
          <w:rFonts w:hint="eastAsia" w:ascii="Times New Roman" w:hAnsi="Times New Roman" w:cs="仿宋"/>
          <w:b/>
          <w:bCs/>
          <w:color w:val="000000"/>
          <w:sz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仿宋"/>
          <w:b/>
          <w:bCs/>
          <w:color w:val="000000"/>
          <w:sz w:val="24"/>
          <w:highlight w:val="none"/>
        </w:rPr>
      </w:r>
      <w:r/>
    </w:p>
    <w:p>
      <w:pPr>
        <w:pStyle w:val="822"/>
        <w:jc w:val="center"/>
        <w:keepLines/>
        <w:keepNext/>
        <w:pageBreakBefore/>
        <w:rPr>
          <w:rFonts w:hint="eastAsia"/>
          <w:b/>
          <w:color w:val="000000"/>
          <w:sz w:val="44"/>
          <w:szCs w:val="44"/>
          <w:highlight w:val="none"/>
        </w:rPr>
        <w:outlineLvl w:val="0"/>
      </w:pPr>
      <w:r/>
      <w:bookmarkStart w:id="121" w:name="_Toc81575205"/>
      <w:r/>
      <w:bookmarkStart w:id="122" w:name="_Toc12255"/>
      <w:r/>
      <w:bookmarkStart w:id="123" w:name="_Toc22314"/>
      <w:r/>
      <w:bookmarkStart w:id="124" w:name="_Toc2916"/>
      <w:r/>
      <w:bookmarkStart w:id="125" w:name="_Toc81575168"/>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9"/>
      <w:r/>
      <w:bookmarkEnd w:id="121"/>
      <w:r/>
      <w:bookmarkEnd w:id="122"/>
      <w:r/>
      <w:bookmarkEnd w:id="123"/>
      <w:r/>
      <w:bookmarkEnd w:id="124"/>
      <w:r/>
      <w:bookmarkEnd w:id="125"/>
      <w:r>
        <w:rPr>
          <w:rFonts w:hint="eastAsia"/>
          <w:b/>
          <w:color w:val="000000"/>
          <w:sz w:val="44"/>
          <w:szCs w:val="44"/>
          <w:highlight w:val="none"/>
        </w:rPr>
      </w:r>
      <w:r/>
    </w:p>
    <w:p>
      <w:pPr>
        <w:pStyle w:val="917"/>
        <w:numPr>
          <w:ilvl w:val="0"/>
          <w:numId w:val="0"/>
        </w:numPr>
        <w:ind w:firstLine="301"/>
        <w:spacing w:line="360" w:lineRule="auto"/>
        <w:rPr>
          <w:rFonts w:hint="eastAsia" w:ascii="Calibri" w:hAnsi="Calibri" w:eastAsia="宋体" w:cs="Times New Roman"/>
          <w:sz w:val="30"/>
          <w:szCs w:val="30"/>
          <w:highlight w:val="none"/>
        </w:rPr>
      </w:pPr>
      <w:r>
        <w:rPr>
          <w:rFonts w:hint="eastAsia" w:ascii="Calibri" w:hAnsi="Calibri" w:eastAsia="宋体" w:cs="Times New Roman"/>
          <w:sz w:val="30"/>
          <w:szCs w:val="30"/>
          <w:highlight w:val="none"/>
        </w:rPr>
        <w:t xml:space="preserve">一、采购标的清单</w:t>
      </w:r>
      <w:r>
        <w:rPr>
          <w:rFonts w:hint="eastAsia" w:ascii="Calibri" w:hAnsi="Calibri" w:eastAsia="宋体" w:cs="Times New Roman"/>
          <w:sz w:val="30"/>
          <w:szCs w:val="30"/>
          <w:highlight w:val="none"/>
        </w:rPr>
      </w:r>
      <w:r/>
    </w:p>
    <w:tbl>
      <w:tblPr>
        <w:tblW w:w="51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146"/>
        <w:gridCol w:w="1126"/>
        <w:gridCol w:w="2585"/>
      </w:tblGrid>
      <w:tr>
        <w:trPr>
          <w:cantSplit/>
        </w:trPr>
        <w:tc>
          <w:tcPr>
            <w:tcW w:w="539" w:type="dxa"/>
            <w:vAlign w:val="center"/>
            <w:textDirection w:val="lrTb"/>
            <w:noWrap w:val="false"/>
          </w:tcPr>
          <w:p>
            <w:pPr>
              <w:pStyle w:val="822"/>
              <w:jc w:val="center"/>
              <w:spacing w:line="36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53" w:type="dxa"/>
            <w:vAlign w:val="center"/>
            <w:textDirection w:val="lrTb"/>
            <w:noWrap w:val="false"/>
          </w:tcPr>
          <w:p>
            <w:pPr>
              <w:pStyle w:val="822"/>
              <w:jc w:val="center"/>
              <w:spacing w:line="360" w:lineRule="exact"/>
              <w:rPr>
                <w:rFonts w:ascii="宋体" w:hAnsi="宋体" w:eastAsia="宋体"/>
                <w:sz w:val="24"/>
                <w:szCs w:val="24"/>
                <w:lang w:val="en-US" w:eastAsia="zh-CN"/>
              </w:rPr>
            </w:pPr>
            <w:r>
              <w:rPr>
                <w:rFonts w:hint="eastAsia" w:ascii="宋体" w:hAnsi="宋体"/>
                <w:sz w:val="24"/>
                <w:szCs w:val="24"/>
                <w:lang w:val="en-US" w:eastAsia="zh-CN"/>
              </w:rPr>
              <w:t xml:space="preserve">标的名称</w:t>
            </w:r>
            <w:r>
              <w:rPr>
                <w:rFonts w:ascii="宋体" w:hAnsi="宋体" w:eastAsia="宋体"/>
                <w:sz w:val="24"/>
                <w:szCs w:val="24"/>
                <w:lang w:val="en-US" w:eastAsia="zh-CN"/>
              </w:rPr>
            </w:r>
            <w:r/>
          </w:p>
        </w:tc>
        <w:tc>
          <w:tcPr>
            <w:tcW w:w="639" w:type="dxa"/>
            <w:vAlign w:val="center"/>
            <w:textDirection w:val="lrTb"/>
            <w:noWrap w:val="false"/>
          </w:tcPr>
          <w:p>
            <w:pPr>
              <w:pStyle w:val="822"/>
              <w:jc w:val="center"/>
              <w:spacing w:line="480" w:lineRule="exact"/>
              <w:tabs>
                <w:tab w:val="left" w:pos="2020"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467" w:type="dxa"/>
            <w:vAlign w:val="center"/>
            <w:textDirection w:val="lrTb"/>
            <w:noWrap w:val="false"/>
          </w:tcPr>
          <w:p>
            <w:pPr>
              <w:pStyle w:val="822"/>
              <w:jc w:val="center"/>
              <w:spacing w:line="480" w:lineRule="exact"/>
              <w:tabs>
                <w:tab w:val="left" w:pos="2020" w:leader="none"/>
              </w:tabs>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39" w:type="dxa"/>
            <w:vAlign w:val="center"/>
            <w:textDirection w:val="lrTb"/>
            <w:noWrap w:val="false"/>
          </w:tcPr>
          <w:p>
            <w:pPr>
              <w:pStyle w:val="822"/>
              <w:jc w:val="center"/>
              <w:spacing w:line="480" w:lineRule="exact"/>
              <w:tabs>
                <w:tab w:val="left" w:pos="2020" w:leader="none"/>
              </w:tabs>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53" w:type="dxa"/>
            <w:vAlign w:val="center"/>
            <w:textDirection w:val="lrTb"/>
            <w:noWrap w:val="false"/>
          </w:tcPr>
          <w:p>
            <w:pPr>
              <w:pStyle w:val="822"/>
              <w:jc w:val="center"/>
              <w:spacing w:line="480" w:lineRule="exact"/>
              <w:rPr>
                <w:rFonts w:ascii="宋体" w:hAnsi="宋体"/>
                <w:sz w:val="24"/>
                <w:szCs w:val="24"/>
              </w:rPr>
            </w:pPr>
            <w:r>
              <w:rPr>
                <w:rFonts w:hint="eastAsia" w:ascii="宋体" w:hAnsi="宋体"/>
                <w:sz w:val="24"/>
                <w:szCs w:val="24"/>
              </w:rPr>
              <w:t xml:space="preserve">泗洪县（2026-2028年度）“一住两公”地块土壤污染状况调查服务采购项目</w:t>
            </w:r>
            <w:r>
              <w:rPr>
                <w:rFonts w:ascii="宋体" w:hAnsi="宋体"/>
                <w:sz w:val="24"/>
                <w:szCs w:val="24"/>
              </w:rPr>
            </w:r>
            <w:r/>
          </w:p>
        </w:tc>
        <w:tc>
          <w:tcPr>
            <w:tcW w:w="639" w:type="dxa"/>
            <w:vAlign w:val="center"/>
            <w:textDirection w:val="lrTb"/>
            <w:noWrap w:val="false"/>
          </w:tcPr>
          <w:p>
            <w:pPr>
              <w:pStyle w:val="822"/>
              <w:jc w:val="center"/>
              <w:spacing w:line="480" w:lineRule="exact"/>
              <w:tabs>
                <w:tab w:val="left" w:pos="2020" w:leader="none"/>
              </w:tabs>
              <w:rPr>
                <w:rFonts w:ascii="宋体" w:hAnsi="宋体" w:eastAsia="宋体"/>
                <w:sz w:val="24"/>
                <w:szCs w:val="24"/>
                <w:lang w:val="en-US" w:eastAsia="zh-CN"/>
              </w:rPr>
            </w:pPr>
            <w:r>
              <w:rPr>
                <w:rFonts w:hint="eastAsia" w:ascii="宋体" w:hAnsi="宋体"/>
                <w:sz w:val="24"/>
                <w:szCs w:val="24"/>
                <w:lang w:val="en-US" w:eastAsia="zh-CN"/>
              </w:rPr>
              <w:t xml:space="preserve">1项</w:t>
            </w:r>
            <w:r>
              <w:rPr>
                <w:rFonts w:ascii="宋体" w:hAnsi="宋体" w:eastAsia="宋体"/>
                <w:sz w:val="24"/>
                <w:szCs w:val="24"/>
                <w:lang w:val="en-US" w:eastAsia="zh-CN"/>
              </w:rPr>
            </w:r>
            <w:r/>
          </w:p>
        </w:tc>
        <w:tc>
          <w:tcPr>
            <w:tcW w:w="1467" w:type="dxa"/>
            <w:vAlign w:val="center"/>
            <w:textDirection w:val="lrTb"/>
            <w:noWrap w:val="false"/>
          </w:tcPr>
          <w:p>
            <w:pPr>
              <w:pStyle w:val="822"/>
              <w:jc w:val="center"/>
              <w:spacing w:line="480" w:lineRule="exact"/>
              <w:tabs>
                <w:tab w:val="left" w:pos="2020" w:leader="none"/>
              </w:tabs>
              <w:rPr>
                <w:rFonts w:ascii="宋体" w:hAnsi="宋体"/>
                <w:sz w:val="24"/>
                <w:szCs w:val="24"/>
              </w:rPr>
            </w:pPr>
            <w:r>
              <w:rPr>
                <w:rFonts w:ascii="宋体" w:hAnsi="宋体"/>
                <w:sz w:val="24"/>
                <w:szCs w:val="24"/>
              </w:rPr>
              <w:t xml:space="preserve">其他未列明行业</w:t>
            </w:r>
            <w:r>
              <w:rPr>
                <w:rFonts w:ascii="宋体" w:hAnsi="宋体"/>
                <w:sz w:val="24"/>
                <w:szCs w:val="24"/>
              </w:rPr>
            </w:r>
            <w:r/>
          </w:p>
        </w:tc>
      </w:tr>
    </w:tbl>
    <w:p>
      <w:pPr>
        <w:pStyle w:val="822"/>
        <w:ind w:firstLine="482"/>
        <w:spacing w:line="0" w:lineRule="atLeast"/>
        <w:rPr>
          <w:rFonts w:ascii="宋体" w:hAnsi="宋体"/>
          <w:b/>
          <w:sz w:val="24"/>
          <w:szCs w:val="24"/>
        </w:rPr>
      </w:pPr>
      <w:r>
        <w:rPr>
          <w:rFonts w:ascii="宋体" w:hAnsi="宋体"/>
          <w:b/>
          <w:sz w:val="24"/>
          <w:szCs w:val="24"/>
        </w:rPr>
      </w:r>
      <w:r/>
    </w:p>
    <w:p>
      <w:pPr>
        <w:pStyle w:val="917"/>
        <w:numPr>
          <w:ilvl w:val="0"/>
          <w:numId w:val="0"/>
        </w:numPr>
        <w:ind w:firstLine="301"/>
        <w:spacing w:line="360" w:lineRule="auto"/>
        <w:rPr>
          <w:rStyle w:val="832"/>
          <w:rFonts w:hint="eastAsia" w:ascii="宋体" w:hAnsi="宋体" w:eastAsia="宋体" w:cs="宋体"/>
          <w:color w:val="000000"/>
          <w:sz w:val="24"/>
          <w:szCs w:val="24"/>
          <w:highlight w:val="none"/>
        </w:rPr>
      </w:pPr>
      <w:r>
        <w:rPr>
          <w:rFonts w:hint="eastAsia" w:ascii="Calibri" w:hAnsi="Calibri" w:eastAsia="宋体" w:cs="Times New Roman"/>
          <w:sz w:val="30"/>
          <w:szCs w:val="30"/>
          <w:highlight w:val="none"/>
          <w:lang w:val="en-US" w:eastAsia="zh-CN"/>
        </w:rPr>
        <w:t xml:space="preserve">二</w:t>
      </w:r>
      <w:r>
        <w:rPr>
          <w:rFonts w:hint="eastAsia" w:ascii="Calibri" w:hAnsi="Calibri" w:eastAsia="宋体" w:cs="Times New Roman"/>
          <w:sz w:val="30"/>
          <w:szCs w:val="30"/>
          <w:highlight w:val="none"/>
        </w:rPr>
        <w:t xml:space="preserve">、项目概况</w:t>
      </w:r>
      <w:r>
        <w:rPr>
          <w:rStyle w:val="832"/>
          <w:rFonts w:hint="eastAsia" w:ascii="宋体" w:hAnsi="宋体" w:eastAsia="宋体" w:cs="宋体"/>
          <w:color w:val="000000"/>
          <w:sz w:val="24"/>
          <w:szCs w:val="24"/>
          <w:highlight w:val="none"/>
        </w:rPr>
      </w:r>
      <w:r/>
    </w:p>
    <w:p>
      <w:pPr>
        <w:pStyle w:val="1102"/>
        <w:ind w:left="239" w:firstLine="580"/>
        <w:spacing w:line="460" w:lineRule="exact"/>
        <w:rPr>
          <w:rStyle w:val="832"/>
          <w:rFonts w:hint="eastAsia" w:ascii="宋体" w:hAnsi="宋体" w:eastAsia="宋体" w:cs="宋体"/>
          <w:color w:val="000000"/>
          <w:sz w:val="24"/>
          <w:szCs w:val="24"/>
          <w:highlight w:val="none"/>
        </w:rPr>
      </w:pPr>
      <w:r>
        <w:rPr>
          <w:rStyle w:val="832"/>
          <w:rFonts w:hint="eastAsia" w:ascii="宋体" w:hAnsi="宋体" w:eastAsia="宋体" w:cs="宋体"/>
          <w:color w:val="000000"/>
          <w:sz w:val="24"/>
          <w:szCs w:val="24"/>
          <w:highlight w:val="none"/>
          <w:u w:val="none"/>
          <w:lang w:val="en-US" w:eastAsia="zh-CN"/>
        </w:rPr>
        <w:t xml:space="preserve">1、项目背景：根据</w:t>
      </w:r>
      <w:r>
        <w:rPr>
          <w:rStyle w:val="832"/>
          <w:rFonts w:hint="eastAsia" w:ascii="宋体" w:hAnsi="宋体" w:eastAsia="宋体" w:cs="宋体"/>
          <w:color w:val="000000"/>
          <w:sz w:val="24"/>
          <w:szCs w:val="24"/>
          <w:highlight w:val="none"/>
          <w:lang w:val="en-US" w:eastAsia="zh-CN"/>
        </w:rPr>
        <w:t xml:space="preserve">《中华人民共和国生态环境法典》（2026年3月12日通过，2026年8月15日起施行</w:t>
      </w:r>
      <w:r>
        <w:rPr>
          <w:rStyle w:val="832"/>
          <w:rFonts w:hint="eastAsia" w:ascii="宋体" w:hAnsi="宋体" w:cs="宋体"/>
          <w:color w:val="000000"/>
          <w:sz w:val="24"/>
          <w:szCs w:val="24"/>
          <w:highlight w:val="none"/>
          <w:lang w:val="en-US" w:eastAsia="zh-CN"/>
        </w:rPr>
        <w:t xml:space="preserve">，</w:t>
      </w:r>
      <w:r>
        <w:rPr>
          <w:rStyle w:val="832"/>
          <w:rFonts w:hint="eastAsia" w:ascii="宋体" w:hAnsi="宋体" w:eastAsia="宋体" w:cs="宋体"/>
          <w:color w:val="000000"/>
          <w:sz w:val="24"/>
          <w:szCs w:val="24"/>
          <w:highlight w:val="none"/>
          <w:lang w:val="en-US" w:eastAsia="zh-CN"/>
        </w:rPr>
        <w:t xml:space="preserve">同时《中华人民共和国环境保护法》、《中华人民共和国土壤污染防治法》2026年8月15日起废止）</w:t>
      </w:r>
      <w:r>
        <w:rPr>
          <w:rStyle w:val="832"/>
          <w:rFonts w:hint="eastAsia" w:ascii="宋体" w:hAnsi="宋体" w:eastAsia="宋体" w:cs="宋体"/>
          <w:color w:val="000000"/>
          <w:sz w:val="24"/>
          <w:szCs w:val="24"/>
          <w:highlight w:val="none"/>
          <w:u w:val="none"/>
          <w:lang w:val="en-US" w:eastAsia="zh-CN"/>
        </w:rPr>
        <w:t xml:space="preserve">和《关于拟收回及用途变更土地需开展土壤污染调查、治理和修复等工作的告知函》(宿环函 (2019)23号)等相关文件规定，土地收回及用途变更（地块用途变更为住宅、公共管理与公共服务用地的），变更前应当按照规定进行土壤污染状况调查。</w:t>
      </w:r>
      <w:r>
        <w:rPr>
          <w:rStyle w:val="832"/>
          <w:rFonts w:hint="eastAsia" w:ascii="宋体" w:hAnsi="宋体" w:eastAsia="宋体" w:cs="宋体"/>
          <w:color w:val="000000"/>
          <w:sz w:val="24"/>
          <w:szCs w:val="24"/>
          <w:highlight w:val="none"/>
        </w:rPr>
      </w:r>
      <w:r/>
    </w:p>
    <w:p>
      <w:pPr>
        <w:pStyle w:val="1102"/>
        <w:ind w:firstLine="720"/>
        <w:spacing w:line="460" w:lineRule="exact"/>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2、项目范围：本项目服务范围为全县辖区内约3000亩土地（以最终完成调查的面积为准）。技术服务内容包括现场踏勘及资料收集、样品采集、样品检测、调查结果分析及编制土壤污染状况调查报告等内容。</w:t>
      </w:r>
      <w:r>
        <w:rPr>
          <w:rStyle w:val="832"/>
          <w:rFonts w:hint="eastAsia" w:ascii="宋体" w:hAnsi="宋体" w:eastAsia="宋体" w:cs="宋体"/>
          <w:color w:val="000000"/>
          <w:sz w:val="24"/>
          <w:szCs w:val="24"/>
          <w:highlight w:val="none"/>
          <w:lang w:val="en-US" w:eastAsia="zh-CN"/>
        </w:rPr>
      </w:r>
      <w:r/>
    </w:p>
    <w:p>
      <w:pPr>
        <w:pStyle w:val="1102"/>
        <w:ind w:firstLine="720"/>
        <w:spacing w:line="460" w:lineRule="exact"/>
        <w:rPr>
          <w:rStyle w:val="832"/>
          <w:rFonts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3、采购预算：</w:t>
      </w:r>
      <w:r>
        <w:rPr>
          <w:rStyle w:val="832"/>
          <w:rFonts w:hint="eastAsia" w:ascii="宋体" w:hAnsi="宋体" w:cs="宋体"/>
          <w:color w:val="000000"/>
          <w:sz w:val="24"/>
          <w:szCs w:val="24"/>
          <w:highlight w:val="none"/>
          <w:lang w:val="en-US" w:eastAsia="zh-CN"/>
        </w:rPr>
        <w:t xml:space="preserve">288</w:t>
      </w:r>
      <w:r>
        <w:rPr>
          <w:rStyle w:val="832"/>
          <w:rFonts w:hint="eastAsia" w:ascii="宋体" w:hAnsi="宋体" w:eastAsia="宋体" w:cs="宋体"/>
          <w:color w:val="000000"/>
          <w:sz w:val="24"/>
          <w:szCs w:val="24"/>
          <w:highlight w:val="none"/>
          <w:lang w:val="en-US" w:eastAsia="zh-CN"/>
        </w:rPr>
        <w:t xml:space="preserve">万元</w:t>
      </w:r>
      <w:r>
        <w:rPr>
          <w:rStyle w:val="832"/>
          <w:rFonts w:ascii="宋体" w:hAnsi="宋体" w:eastAsia="宋体" w:cs="宋体"/>
          <w:color w:val="000000"/>
          <w:sz w:val="24"/>
          <w:szCs w:val="24"/>
          <w:highlight w:val="none"/>
          <w:lang w:val="en-US" w:eastAsia="zh-CN"/>
        </w:rPr>
      </w:r>
      <w:r/>
    </w:p>
    <w:p>
      <w:pPr>
        <w:pStyle w:val="1102"/>
        <w:ind w:firstLine="720"/>
        <w:spacing w:line="460" w:lineRule="exact"/>
        <w:rPr>
          <w:rFonts w:hint="eastAsia" w:ascii="Calibri" w:hAnsi="Calibri" w:eastAsia="宋体" w:cs="Times New Roman"/>
          <w:color w:val="000000"/>
          <w:sz w:val="30"/>
          <w:szCs w:val="30"/>
          <w:highlight w:val="none"/>
          <w:lang w:val="en-US" w:eastAsia="zh-CN"/>
        </w:rPr>
      </w:pPr>
      <w:r>
        <w:rPr>
          <w:rStyle w:val="832"/>
          <w:rFonts w:hint="eastAsia" w:ascii="宋体" w:hAnsi="宋体" w:eastAsia="宋体" w:cs="宋体"/>
          <w:color w:val="000000"/>
          <w:sz w:val="24"/>
          <w:szCs w:val="24"/>
          <w:highlight w:val="none"/>
          <w:lang w:val="en-US" w:eastAsia="zh-CN"/>
        </w:rPr>
        <w:t xml:space="preserve">4、最高限价：</w:t>
      </w:r>
      <w:r>
        <w:rPr>
          <w:rStyle w:val="832"/>
          <w:rFonts w:hint="eastAsia" w:ascii="宋体" w:hAnsi="宋体" w:cs="宋体"/>
          <w:color w:val="000000"/>
          <w:sz w:val="24"/>
          <w:szCs w:val="24"/>
          <w:highlight w:val="none"/>
          <w:lang w:val="en-US" w:eastAsia="zh-CN"/>
        </w:rPr>
        <w:t xml:space="preserve">960</w:t>
      </w:r>
      <w:r>
        <w:rPr>
          <w:rStyle w:val="832"/>
          <w:rFonts w:hint="eastAsia" w:ascii="宋体" w:hAnsi="宋体" w:eastAsia="宋体" w:cs="宋体"/>
          <w:color w:val="000000"/>
          <w:sz w:val="24"/>
          <w:szCs w:val="24"/>
          <w:highlight w:val="none"/>
          <w:lang w:val="en-US" w:eastAsia="zh-CN"/>
        </w:rPr>
        <w:t xml:space="preserve">元/亩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单价报价，</w:t>
      </w:r>
      <w:r>
        <w:rPr>
          <w:rFonts w:hint="eastAsia" w:ascii="宋体" w:hAnsi="宋体" w:eastAsia="宋体" w:cs="宋体"/>
          <w:color w:val="000000"/>
          <w:sz w:val="24"/>
          <w:szCs w:val="24"/>
          <w:highlight w:val="none"/>
          <w:lang w:eastAsia="zh-CN"/>
        </w:rPr>
        <w:t xml:space="preserve">超过最高限价</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eastAsia="zh-CN"/>
        </w:rPr>
        <w:t xml:space="preserve">的作无效标处理。</w:t>
      </w:r>
      <w:r>
        <w:rPr>
          <w:rFonts w:hint="eastAsia" w:ascii="Calibri" w:hAnsi="Calibri" w:eastAsia="宋体" w:cs="Times New Roman"/>
          <w:color w:val="000000"/>
          <w:sz w:val="30"/>
          <w:szCs w:val="30"/>
          <w:highlight w:val="none"/>
          <w:lang w:val="en-US" w:eastAsia="zh-CN"/>
        </w:rPr>
      </w:r>
      <w:r/>
    </w:p>
    <w:p>
      <w:pPr>
        <w:pStyle w:val="917"/>
        <w:numPr>
          <w:ilvl w:val="0"/>
          <w:numId w:val="0"/>
        </w:numPr>
        <w:ind w:firstLine="301"/>
        <w:spacing w:line="360" w:lineRule="auto"/>
        <w:rPr>
          <w:rFonts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三、采购清单</w:t>
      </w:r>
      <w:r>
        <w:rPr>
          <w:rFonts w:ascii="Calibri" w:hAnsi="Calibri" w:eastAsia="宋体" w:cs="Times New Roman"/>
          <w:color w:val="000000"/>
          <w:sz w:val="30"/>
          <w:szCs w:val="30"/>
          <w:highlight w:val="none"/>
          <w:lang w:val="en-US" w:eastAsia="zh-CN"/>
        </w:rPr>
      </w:r>
      <w:r/>
    </w:p>
    <w:tbl>
      <w:tblPr>
        <w:tblStyle w:val="905"/>
        <w:tblW w:w="9480" w:type="dxa"/>
        <w:tblInd w:w="-6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520"/>
        <w:gridCol w:w="870"/>
        <w:gridCol w:w="1080"/>
        <w:gridCol w:w="1335"/>
      </w:tblGrid>
      <w:tr>
        <w:trPr>
          <w:trHeight w:val="503"/>
        </w:trPr>
        <w:tc>
          <w:tcPr>
            <w:tcW w:w="675" w:type="dxa"/>
            <w:vAlign w:val="center"/>
            <w:textDirection w:val="lrTb"/>
            <w:noWrap w:val="false"/>
          </w:tcPr>
          <w:p>
            <w:pPr>
              <w:pStyle w:val="917"/>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序号</w:t>
            </w:r>
            <w:r>
              <w:rPr>
                <w:rFonts w:hint="eastAsia" w:ascii="宋体" w:hAnsi="宋体" w:eastAsia="宋体" w:cs="宋体"/>
                <w:b w:val="0"/>
                <w:bCs/>
                <w:color w:val="000000"/>
                <w:sz w:val="21"/>
                <w:szCs w:val="21"/>
                <w:highlight w:val="none"/>
                <w:vertAlign w:val="baseline"/>
                <w:lang w:val="en-US" w:eastAsia="zh-CN"/>
              </w:rPr>
            </w:r>
            <w:r/>
          </w:p>
        </w:tc>
        <w:tc>
          <w:tcPr>
            <w:tcW w:w="5520" w:type="dxa"/>
            <w:vAlign w:val="top"/>
            <w:textDirection w:val="lrTb"/>
            <w:noWrap w:val="false"/>
          </w:tcPr>
          <w:p>
            <w:pPr>
              <w:pStyle w:val="917"/>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采购内容</w:t>
            </w:r>
            <w:r>
              <w:rPr>
                <w:rFonts w:hint="eastAsia" w:ascii="宋体" w:hAnsi="宋体" w:eastAsia="宋体" w:cs="宋体"/>
                <w:b w:val="0"/>
                <w:bCs/>
                <w:color w:val="000000"/>
                <w:sz w:val="21"/>
                <w:szCs w:val="21"/>
                <w:highlight w:val="none"/>
                <w:vertAlign w:val="baseline"/>
                <w:lang w:val="en-US" w:eastAsia="zh-CN"/>
              </w:rPr>
            </w:r>
            <w:r/>
          </w:p>
        </w:tc>
        <w:tc>
          <w:tcPr>
            <w:tcW w:w="870" w:type="dxa"/>
            <w:vAlign w:val="top"/>
            <w:textDirection w:val="lrTb"/>
            <w:noWrap w:val="false"/>
          </w:tcPr>
          <w:p>
            <w:pPr>
              <w:pStyle w:val="917"/>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数量</w:t>
            </w:r>
            <w:r>
              <w:rPr>
                <w:rFonts w:hint="eastAsia" w:ascii="宋体" w:hAnsi="宋体" w:eastAsia="宋体" w:cs="宋体"/>
                <w:b w:val="0"/>
                <w:bCs/>
                <w:color w:val="000000"/>
                <w:sz w:val="21"/>
                <w:szCs w:val="21"/>
                <w:highlight w:val="none"/>
                <w:vertAlign w:val="baseline"/>
                <w:lang w:val="en-US" w:eastAsia="zh-CN"/>
              </w:rPr>
            </w:r>
            <w:r/>
          </w:p>
        </w:tc>
        <w:tc>
          <w:tcPr>
            <w:tcW w:w="1080" w:type="dxa"/>
            <w:vAlign w:val="top"/>
            <w:textDirection w:val="lrTb"/>
            <w:noWrap w:val="false"/>
          </w:tcPr>
          <w:p>
            <w:pPr>
              <w:pStyle w:val="917"/>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单价</w:t>
            </w:r>
            <w:r>
              <w:rPr>
                <w:rFonts w:ascii="宋体" w:hAnsi="宋体" w:eastAsia="宋体" w:cs="宋体"/>
                <w:b w:val="0"/>
                <w:bCs/>
                <w:color w:val="000000"/>
                <w:sz w:val="21"/>
                <w:szCs w:val="21"/>
                <w:highlight w:val="none"/>
                <w:vertAlign w:val="baseline"/>
                <w:lang w:val="en-US" w:eastAsia="zh-CN"/>
              </w:rPr>
            </w:r>
            <w:r/>
          </w:p>
        </w:tc>
        <w:tc>
          <w:tcPr>
            <w:tcW w:w="1335" w:type="dxa"/>
            <w:vAlign w:val="top"/>
            <w:textDirection w:val="lrTb"/>
            <w:noWrap w:val="false"/>
          </w:tcPr>
          <w:p>
            <w:pPr>
              <w:pStyle w:val="917"/>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合计</w:t>
            </w:r>
            <w:r>
              <w:rPr>
                <w:rFonts w:ascii="宋体" w:hAnsi="宋体" w:eastAsia="宋体" w:cs="宋体"/>
                <w:b w:val="0"/>
                <w:bCs/>
                <w:color w:val="000000"/>
                <w:sz w:val="21"/>
                <w:szCs w:val="21"/>
                <w:highlight w:val="none"/>
                <w:vertAlign w:val="baseline"/>
                <w:lang w:val="en-US" w:eastAsia="zh-CN"/>
              </w:rPr>
            </w:r>
            <w:r/>
          </w:p>
        </w:tc>
      </w:tr>
      <w:tr>
        <w:trPr/>
        <w:tc>
          <w:tcPr>
            <w:tcW w:w="675" w:type="dxa"/>
            <w:vAlign w:val="center"/>
            <w:textDirection w:val="lrTb"/>
            <w:noWrap w:val="false"/>
          </w:tcPr>
          <w:p>
            <w:pPr>
              <w:pStyle w:val="917"/>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w:t>
            </w:r>
            <w:r>
              <w:rPr>
                <w:rFonts w:hint="eastAsia" w:ascii="宋体" w:hAnsi="宋体" w:eastAsia="宋体" w:cs="宋体"/>
                <w:b w:val="0"/>
                <w:bCs/>
                <w:color w:val="000000"/>
                <w:sz w:val="21"/>
                <w:szCs w:val="21"/>
                <w:highlight w:val="none"/>
                <w:vertAlign w:val="baseline"/>
                <w:lang w:val="en-US" w:eastAsia="zh-CN"/>
              </w:rPr>
            </w:r>
            <w:r/>
          </w:p>
        </w:tc>
        <w:tc>
          <w:tcPr>
            <w:tcW w:w="5520" w:type="dxa"/>
            <w:vAlign w:val="top"/>
            <w:textDirection w:val="lrTb"/>
            <w:noWrap w:val="false"/>
          </w:tcPr>
          <w:p>
            <w:pPr>
              <w:pStyle w:val="917"/>
              <w:numPr>
                <w:ilvl w:val="0"/>
                <w:numId w:val="0"/>
              </w:numPr>
              <w:jc w:val="both"/>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本项目服务范围为全县辖区内约3000亩土地（以最终完成调查的面积为准）。技术服务内容包括现场踏勘及资料收集、样品采集、样品检测、调查结果分析及编制土壤污染状况调查报告等内容。</w:t>
            </w:r>
            <w:r>
              <w:rPr>
                <w:rFonts w:hint="eastAsia" w:ascii="宋体" w:hAnsi="宋体" w:eastAsia="宋体" w:cs="宋体"/>
                <w:b w:val="0"/>
                <w:bCs/>
                <w:color w:val="000000"/>
                <w:sz w:val="21"/>
                <w:szCs w:val="21"/>
                <w:highlight w:val="none"/>
                <w:vertAlign w:val="baseline"/>
                <w:lang w:val="en-US" w:eastAsia="zh-CN"/>
              </w:rPr>
            </w:r>
            <w:r/>
          </w:p>
        </w:tc>
        <w:tc>
          <w:tcPr>
            <w:tcW w:w="870" w:type="dxa"/>
            <w:vAlign w:val="center"/>
            <w:textDirection w:val="lrTb"/>
            <w:noWrap w:val="false"/>
          </w:tcPr>
          <w:p>
            <w:pPr>
              <w:pStyle w:val="917"/>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3000亩</w:t>
            </w:r>
            <w:r>
              <w:rPr>
                <w:rFonts w:ascii="宋体" w:hAnsi="宋体" w:eastAsia="宋体" w:cs="宋体"/>
                <w:b w:val="0"/>
                <w:bCs/>
                <w:color w:val="000000"/>
                <w:sz w:val="21"/>
                <w:szCs w:val="21"/>
                <w:highlight w:val="none"/>
                <w:vertAlign w:val="baseline"/>
                <w:lang w:val="en-US" w:eastAsia="zh-CN"/>
              </w:rPr>
            </w:r>
            <w:r/>
          </w:p>
        </w:tc>
        <w:tc>
          <w:tcPr>
            <w:tcW w:w="1080" w:type="dxa"/>
            <w:vAlign w:val="center"/>
            <w:textDirection w:val="lrTb"/>
            <w:noWrap w:val="false"/>
          </w:tcPr>
          <w:p>
            <w:pPr>
              <w:pStyle w:val="917"/>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960元/亩</w:t>
            </w:r>
            <w:r>
              <w:rPr>
                <w:rFonts w:hint="eastAsia" w:ascii="宋体" w:hAnsi="宋体" w:eastAsia="宋体" w:cs="宋体"/>
                <w:b w:val="0"/>
                <w:bCs/>
                <w:color w:val="000000"/>
                <w:sz w:val="21"/>
                <w:szCs w:val="21"/>
                <w:highlight w:val="none"/>
                <w:vertAlign w:val="baseline"/>
                <w:lang w:val="en-US" w:eastAsia="zh-CN"/>
              </w:rPr>
            </w:r>
            <w:r/>
          </w:p>
        </w:tc>
        <w:tc>
          <w:tcPr>
            <w:tcW w:w="1335" w:type="dxa"/>
            <w:vAlign w:val="center"/>
            <w:textDirection w:val="lrTb"/>
            <w:noWrap w:val="false"/>
          </w:tcPr>
          <w:p>
            <w:pPr>
              <w:pStyle w:val="917"/>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288万元</w:t>
            </w:r>
            <w:r>
              <w:rPr>
                <w:rFonts w:ascii="宋体" w:hAnsi="宋体" w:eastAsia="宋体" w:cs="宋体"/>
                <w:b w:val="0"/>
                <w:bCs/>
                <w:color w:val="000000"/>
                <w:sz w:val="21"/>
                <w:szCs w:val="21"/>
                <w:highlight w:val="none"/>
                <w:vertAlign w:val="baseline"/>
                <w:lang w:val="en-US" w:eastAsia="zh-CN"/>
              </w:rPr>
            </w:r>
            <w:r/>
          </w:p>
        </w:tc>
      </w:tr>
    </w:tbl>
    <w:p>
      <w:pPr>
        <w:pStyle w:val="917"/>
        <w:numPr>
          <w:ilvl w:val="0"/>
          <w:numId w:val="0"/>
        </w:numPr>
        <w:ind w:firstLine="301"/>
        <w:spacing w:line="360" w:lineRule="auto"/>
        <w:rPr>
          <w:rStyle w:val="832"/>
          <w:rFonts w:hint="eastAsia" w:ascii="宋体" w:hAnsi="宋体" w:eastAsia="宋体" w:cs="宋体"/>
          <w:b/>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四、工作内容</w:t>
      </w:r>
      <w:r>
        <w:rPr>
          <w:rStyle w:val="832"/>
          <w:rFonts w:hint="eastAsia" w:ascii="宋体" w:hAnsi="宋体" w:eastAsia="宋体" w:cs="宋体"/>
          <w:b/>
          <w:color w:val="000000"/>
          <w:sz w:val="24"/>
          <w:szCs w:val="24"/>
          <w:highlight w:val="none"/>
          <w:lang w:val="en-US" w:eastAsia="zh-CN"/>
        </w:rPr>
      </w:r>
      <w:r/>
    </w:p>
    <w:p>
      <w:pPr>
        <w:pStyle w:val="1102"/>
        <w:ind w:right="105" w:firstLine="480"/>
        <w:jc w:val="left"/>
        <w:keepLines w:val="0"/>
        <w:keepNext w:val="0"/>
        <w:pageBreakBefore w:val="0"/>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按照采购人的委托要求开展</w:t>
      </w:r>
      <w:r>
        <w:rPr>
          <w:rFonts w:hint="eastAsia" w:ascii="宋体" w:hAnsi="宋体"/>
          <w:color w:val="000000"/>
          <w:sz w:val="24"/>
          <w:szCs w:val="24"/>
        </w:rPr>
        <w:t xml:space="preserve">土壤污染状况调查服务</w:t>
      </w:r>
      <w:r>
        <w:rPr>
          <w:rFonts w:hint="eastAsia" w:ascii="宋体" w:hAnsi="宋体"/>
          <w:color w:val="000000"/>
          <w:sz w:val="24"/>
          <w:szCs w:val="24"/>
          <w:lang w:val="en-US" w:eastAsia="zh-CN"/>
        </w:rPr>
        <w:t xml:space="preserve">工作</w:t>
      </w:r>
      <w:r>
        <w:rPr>
          <w:rStyle w:val="832"/>
          <w:rFonts w:hint="eastAsia" w:ascii="宋体" w:hAnsi="宋体" w:eastAsia="宋体" w:cs="宋体"/>
          <w:color w:val="000000"/>
          <w:sz w:val="24"/>
          <w:szCs w:val="24"/>
          <w:highlight w:val="none"/>
          <w:lang w:val="en-US" w:eastAsia="zh-CN"/>
        </w:rPr>
        <w:t xml:space="preserve">。工作中严格执行相关规定，保证按时高质量完成采购人委托任务。具体事项包括但不限于：</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1、现场详细踏勘及详细资料收集：场地的现状，场地历史，相邻场地的现状和历史情况，场地水文地质、建筑物、构筑物、设施或设备的情况，收集的资料主要包括场地环境资料、有关政府文件以及场地所在区域概况，场地水文地质情况。</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2、调查工作计划和前期准备：编制调查方案，落实采样材料与设备。</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3、现场调查采样：调查和采样前的准备、定位和探测、现场检测、土壤样品的采集、地下水样品的采集等。</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4、样品检测分析</w:t>
      </w:r>
      <w:r>
        <w:rPr>
          <w:rStyle w:val="832"/>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投标人</w:t>
      </w:r>
      <w:r>
        <w:rPr>
          <w:rStyle w:val="832"/>
          <w:rFonts w:hint="eastAsia" w:ascii="宋体" w:hAnsi="宋体" w:cs="宋体"/>
          <w:color w:val="000000"/>
          <w:sz w:val="24"/>
          <w:szCs w:val="24"/>
          <w:highlight w:val="none"/>
          <w:lang w:val="en-US" w:eastAsia="zh-CN"/>
        </w:rPr>
        <w:t xml:space="preserve">自有或者</w:t>
      </w:r>
      <w:r>
        <w:rPr>
          <w:rFonts w:hint="eastAsia" w:ascii="宋体" w:hAnsi="宋体" w:cs="Arial"/>
          <w:color w:val="000000"/>
          <w:sz w:val="24"/>
        </w:rPr>
        <w:t xml:space="preserve">委托的分析检测</w:t>
      </w:r>
      <w:r>
        <w:rPr>
          <w:rFonts w:hint="eastAsia" w:ascii="宋体" w:hAnsi="宋体" w:cs="Arial"/>
          <w:color w:val="000000"/>
          <w:sz w:val="24"/>
          <w:lang w:val="en-US" w:eastAsia="zh-CN"/>
        </w:rPr>
        <w:t xml:space="preserve">实验室须具备</w:t>
      </w:r>
      <w:r>
        <w:rPr>
          <w:rFonts w:hint="eastAsia" w:ascii="宋体" w:hAnsi="宋体" w:cs="Arial"/>
          <w:color w:val="000000"/>
          <w:sz w:val="24"/>
        </w:rPr>
        <w:t xml:space="preserve">CMA证书，检测方法应采用现行国标</w:t>
      </w:r>
      <w:r>
        <w:rPr>
          <w:rStyle w:val="832"/>
          <w:rFonts w:hint="eastAsia" w:ascii="宋体" w:hAnsi="宋体" w:eastAsia="宋体" w:cs="宋体"/>
          <w:color w:val="000000"/>
          <w:sz w:val="24"/>
          <w:szCs w:val="24"/>
          <w:highlight w:val="none"/>
          <w:lang w:val="en-US" w:eastAsia="zh-CN"/>
        </w:rPr>
        <w:t xml:space="preserve">。</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5、调查结果分析：根据检测结果，根据规范要求分别对场地土壤和地下水污染状况进行分析评估。</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6、编制土壤污染状况调查报告：按要求提交相关工作成果，符合生态环境部、江苏省生态环境厅关于地块土壤污染状况调查报告的相关技术要求。</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7、地块调查报告需进行专家评审，取得专家评审意见并完成生态环境部门备案。</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8、其余事项按采购</w:t>
      </w:r>
      <w:r>
        <w:rPr>
          <w:rStyle w:val="832"/>
          <w:rFonts w:hint="eastAsia" w:ascii="宋体" w:hAnsi="宋体" w:cs="宋体"/>
          <w:color w:val="000000"/>
          <w:sz w:val="24"/>
          <w:szCs w:val="24"/>
          <w:highlight w:val="none"/>
          <w:lang w:val="en-US" w:eastAsia="zh-CN"/>
        </w:rPr>
        <w:t xml:space="preserve">人</w:t>
      </w:r>
      <w:r>
        <w:rPr>
          <w:rStyle w:val="832"/>
          <w:rFonts w:hint="eastAsia" w:ascii="宋体" w:hAnsi="宋体" w:eastAsia="宋体" w:cs="宋体"/>
          <w:color w:val="000000"/>
          <w:sz w:val="24"/>
          <w:szCs w:val="24"/>
          <w:highlight w:val="none"/>
          <w:lang w:val="en-US" w:eastAsia="zh-CN"/>
        </w:rPr>
        <w:t xml:space="preserve">的要求实施。</w:t>
      </w:r>
      <w:r>
        <w:rPr>
          <w:rStyle w:val="832"/>
          <w:rFonts w:ascii="宋体" w:hAnsi="宋体" w:eastAsia="宋体" w:cs="宋体"/>
          <w:color w:val="000000"/>
          <w:sz w:val="24"/>
          <w:szCs w:val="24"/>
          <w:highlight w:val="none"/>
          <w:lang w:val="en-US" w:eastAsia="zh-CN"/>
        </w:rPr>
      </w:r>
      <w:r/>
    </w:p>
    <w:p>
      <w:pPr>
        <w:pStyle w:val="917"/>
        <w:numPr>
          <w:ilvl w:val="0"/>
          <w:numId w:val="0"/>
        </w:numPr>
        <w:ind w:firstLine="301"/>
        <w:spacing w:line="360" w:lineRule="auto"/>
        <w:rPr>
          <w:rFonts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五、工作依据</w:t>
      </w:r>
      <w:r>
        <w:rPr>
          <w:rFonts w:ascii="Calibri" w:hAnsi="Calibri" w:eastAsia="宋体" w:cs="Times New Roman"/>
          <w:color w:val="000000"/>
          <w:sz w:val="30"/>
          <w:szCs w:val="30"/>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1、《中华人民共和国生态环境法典》（2026年3月12日通过，2026年8月15日起施行。同时《中华人民共和国环境保护法》、《中华人民共和国土壤污染防治法》2026年8月15日起废止）；</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2、《土壤污染防治行动计划》（国发〔2016〕31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3、《污染地块土壤环境管理办法（试行）》（环保部令第 42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4、《土壤污染源头防控行动计划》（环土壤〔2024〕80号）；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5、 《关于做好污染地块环境修复与开发建设衔接的指导意见》（环土壤〔2026〕3号）；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6、《江苏省土壤污染防治工作方案》（苏政发〔2016〕169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7、 《土壤环境质量建设用地土壤污染风险管控标准（试行）》（GB36600-2018）；</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8、《地下水环境质量标准》（GB/T14848-2017）。</w:t>
      </w:r>
      <w:r>
        <w:rPr>
          <w:rStyle w:val="832"/>
          <w:rFonts w:hint="eastAsia" w:ascii="宋体" w:hAnsi="宋体" w:eastAsia="宋体" w:cs="宋体"/>
          <w:color w:val="000000"/>
          <w:sz w:val="24"/>
          <w:szCs w:val="24"/>
          <w:highlight w:val="none"/>
          <w:lang w:val="en-US" w:eastAsia="zh-CN"/>
        </w:rPr>
      </w:r>
      <w:r/>
    </w:p>
    <w:p>
      <w:pPr>
        <w:pStyle w:val="917"/>
        <w:numPr>
          <w:ilvl w:val="0"/>
          <w:numId w:val="0"/>
        </w:numPr>
        <w:ind w:firstLine="301"/>
        <w:spacing w:line="360" w:lineRule="auto"/>
        <w:rPr>
          <w:rStyle w:val="832"/>
          <w:rFonts w:hint="eastAsia" w:ascii="宋体" w:hAnsi="宋体" w:eastAsia="宋体" w:cs="宋体"/>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六、成果提交</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调查成果必须</w:t>
      </w:r>
      <w:r>
        <w:rPr>
          <w:rFonts w:hint="eastAsia" w:ascii="宋体" w:hAnsi="宋体" w:eastAsia="宋体" w:cs="宋体"/>
          <w:color w:val="000000"/>
          <w:sz w:val="24"/>
          <w:lang w:eastAsia="zh-CN"/>
        </w:rPr>
        <w:t xml:space="preserve">通过</w:t>
      </w:r>
      <w:r>
        <w:rPr>
          <w:rFonts w:hint="eastAsia" w:ascii="宋体" w:hAnsi="宋体" w:eastAsia="宋体" w:cs="宋体"/>
          <w:color w:val="000000"/>
          <w:sz w:val="24"/>
        </w:rPr>
        <w:t xml:space="preserve">生态环境部门等组织的专家评审，并将相关成果提交采购人</w:t>
      </w:r>
      <w:r>
        <w:rPr>
          <w:rFonts w:hint="eastAsia" w:ascii="宋体" w:hAnsi="宋体" w:eastAsia="宋体" w:cs="宋体"/>
          <w:color w:val="000000"/>
          <w:sz w:val="24"/>
          <w:lang w:eastAsia="zh-CN"/>
        </w:rPr>
        <w:t xml:space="preserve">，具体纸质文本及电子文本以采购人要求份数为准</w:t>
      </w:r>
      <w:r>
        <w:rPr>
          <w:rFonts w:hint="eastAsia" w:ascii="宋体" w:hAnsi="宋体" w:eastAsia="宋体" w:cs="宋体"/>
          <w:color w:val="000000"/>
          <w:sz w:val="24"/>
        </w:rPr>
        <w:t xml:space="preserve">。 </w:t>
      </w:r>
      <w:r>
        <w:rPr>
          <w:rStyle w:val="832"/>
          <w:rFonts w:ascii="宋体" w:hAnsi="宋体" w:eastAsia="宋体" w:cs="宋体"/>
          <w:color w:val="000000"/>
          <w:sz w:val="24"/>
          <w:szCs w:val="24"/>
          <w:highlight w:val="none"/>
          <w:lang w:val="en-US" w:eastAsia="zh-CN"/>
        </w:rPr>
      </w:r>
      <w:r/>
    </w:p>
    <w:p>
      <w:pPr>
        <w:pStyle w:val="1102"/>
        <w:ind w:right="105" w:firstLine="480"/>
        <w:jc w:val="left"/>
        <w:spacing w:line="360" w:lineRule="auto"/>
        <w:rPr>
          <w:rFonts w:hint="eastAsia" w:ascii="Calibri" w:hAnsi="Calibri" w:eastAsia="宋体" w:cs="Times New Roman"/>
          <w:color w:val="000000"/>
          <w:sz w:val="30"/>
          <w:szCs w:val="30"/>
          <w:highlight w:val="none"/>
          <w:lang w:val="en-US" w:eastAsia="zh-CN"/>
        </w:rPr>
      </w:pPr>
      <w:r>
        <w:rPr>
          <w:rStyle w:val="832"/>
          <w:rFonts w:hint="eastAsia" w:ascii="宋体" w:hAnsi="宋体" w:eastAsia="宋体" w:cs="宋体"/>
          <w:color w:val="000000"/>
          <w:sz w:val="24"/>
          <w:szCs w:val="24"/>
          <w:highlight w:val="none"/>
          <w:lang w:val="en-US" w:eastAsia="zh-CN"/>
        </w:rPr>
        <w:t xml:space="preserve">注：工作成果包括但不限于以上成果，如有新的政策要求按新的成果要求执行。</w:t>
      </w:r>
      <w:r>
        <w:rPr>
          <w:rFonts w:hint="eastAsia" w:ascii="Calibri" w:hAnsi="Calibri" w:eastAsia="宋体" w:cs="Times New Roman"/>
          <w:color w:val="000000"/>
          <w:sz w:val="30"/>
          <w:szCs w:val="30"/>
          <w:highlight w:val="none"/>
          <w:lang w:val="en-US" w:eastAsia="zh-CN"/>
        </w:rPr>
      </w:r>
      <w:r/>
    </w:p>
    <w:p>
      <w:pPr>
        <w:pStyle w:val="917"/>
        <w:numPr>
          <w:ilvl w:val="0"/>
          <w:numId w:val="0"/>
        </w:numPr>
        <w:ind w:firstLine="301"/>
        <w:spacing w:line="360" w:lineRule="auto"/>
        <w:rPr>
          <w:rStyle w:val="832"/>
          <w:rFonts w:hint="eastAsia" w:ascii="宋体" w:hAnsi="宋体" w:eastAsia="宋体" w:cs="宋体"/>
          <w:b/>
          <w:bCs/>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七、项目实施方案</w:t>
      </w:r>
      <w:r>
        <w:rPr>
          <w:rStyle w:val="832"/>
          <w:rFonts w:hint="eastAsia" w:ascii="宋体" w:hAnsi="宋体" w:eastAsia="宋体" w:cs="宋体"/>
          <w:b/>
          <w:bCs/>
          <w:color w:val="000000"/>
          <w:sz w:val="24"/>
          <w:szCs w:val="24"/>
          <w:highlight w:val="none"/>
          <w:lang w:val="en-US" w:eastAsia="zh-CN"/>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根据项目情况选派具有丰富实践经验和良好沟通、协调能力的项目负责人</w:t>
      </w:r>
      <w:r>
        <w:rPr>
          <w:rFonts w:hint="eastAsia" w:ascii="宋体" w:hAnsi="宋体" w:eastAsia="宋体" w:cs="宋体"/>
          <w:color w:val="000000"/>
          <w:sz w:val="24"/>
          <w:szCs w:val="24"/>
          <w:lang w:val="en-US" w:eastAsia="zh-CN"/>
        </w:rPr>
        <w:t xml:space="preserve">1名</w:t>
      </w:r>
      <w:r>
        <w:rPr>
          <w:rFonts w:hint="eastAsia" w:ascii="宋体" w:hAnsi="宋体" w:eastAsia="宋体" w:cs="宋体"/>
          <w:color w:val="000000"/>
          <w:sz w:val="24"/>
          <w:szCs w:val="24"/>
        </w:rPr>
        <w:t xml:space="preserve">和项目组成员</w:t>
      </w:r>
      <w:r>
        <w:rPr>
          <w:rFonts w:hint="eastAsia" w:ascii="宋体" w:hAnsi="宋体" w:eastAsia="宋体" w:cs="宋体"/>
          <w:color w:val="000000"/>
          <w:sz w:val="24"/>
          <w:szCs w:val="24"/>
          <w:lang w:val="en-US" w:eastAsia="zh-CN"/>
        </w:rPr>
        <w:t xml:space="preserve">不少于5名</w:t>
      </w:r>
      <w:r>
        <w:rPr>
          <w:rFonts w:hint="eastAsia" w:ascii="宋体" w:hAnsi="宋体" w:eastAsia="宋体" w:cs="宋体"/>
          <w:color w:val="000000"/>
          <w:sz w:val="24"/>
          <w:szCs w:val="24"/>
        </w:rPr>
        <w:t xml:space="preserve">。在服务期间原则上不得更换项目负责人，特殊情况确需更换的，应事先征得采购人批准，但采购人有权对不能胜任本项目工作的技术人员（含项目负责人）提出更换。</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shd w:val="clear" w:color="auto" w:fill="ffffff"/>
        </w:rPr>
        <w:t xml:space="preserve">为保证采购内容的质量及工期要求，</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highlight w:val="none"/>
          <w:shd w:val="clear" w:color="auto" w:fill="ffffff"/>
        </w:rPr>
        <w:t xml:space="preserve">需委派至少2名符合本项目资质要求的能胜任本项目实际工作的专业技术人员常驻泗洪开展相关工作，协助采购方按要求时限提供服务成果，并能根究甲方要求随时汇报工作进展情况。</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（二）投标人根据项目情况及服务要求的内容为基础，编制概况及现场情况、工作总体计划、工作内容、采样及检测、调查过程质量保证措施、二次污染防治措施、售后服务等，以确保按期、保质</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完成。</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1、项目概况及现场情况说明：根据</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人提供的信息、</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自行收集的相关资料及现场踏勘，包括场地及周边的现状、历史、潜在污染源等内容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要求透彻、深入、全面，能够准确反映项目实际情况。</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2、排定工作总体计划、工作内容：根据项目需求分析，对项目工作总体计划、工作内容技术路线、评价方法、工期安排、人员安排等内容进行详尽描述。</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3、采样及检测：根据项目需求分析，点位布设、样品采集、样品筛选、进度计划、检测分析因子等内容进行详尽描述。</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4、调查过程质量保证措施：根据项目需求分析，对项目质量保证措施可控性强，程序合理规范等内容进行详尽描述。</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5、二次污染防治措施：根据项目需求分析，对项目调查过程中土壤、地下水造成的二次污染防治方案等内容进行详尽描述。</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土壤和地下水样品检测因子需参考</w:t>
      </w:r>
      <w:r>
        <w:rPr>
          <w:rStyle w:val="832"/>
          <w:rFonts w:hint="eastAsia" w:ascii="宋体" w:hAnsi="宋体" w:eastAsia="宋体" w:cs="宋体"/>
          <w:color w:val="000000"/>
          <w:sz w:val="24"/>
          <w:szCs w:val="24"/>
          <w:highlight w:val="none"/>
          <w:lang w:val="en-US" w:eastAsia="zh-CN"/>
        </w:rPr>
        <w:t xml:space="preserve">《土壤环境质量建设用地土壤污染风险管控标准（试行）》（GB36600-2018）</w:t>
      </w:r>
      <w:r>
        <w:rPr>
          <w:rStyle w:val="832"/>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rPr>
        <w:t xml:space="preserve">，检测项目至少含基本项目(45项)和其他项目中重金属、无机物、挥发性有机物、半挥发性有机物、石油烃。</w:t>
      </w:r>
      <w:r>
        <w:rPr>
          <w:rFonts w:hint="eastAsia" w:ascii="宋体" w:hAnsi="宋体" w:eastAsia="宋体" w:cs="宋体"/>
          <w:color w:val="000000"/>
          <w:sz w:val="24"/>
          <w:szCs w:val="24"/>
        </w:rPr>
      </w:r>
      <w:r/>
    </w:p>
    <w:p>
      <w:pPr>
        <w:pStyle w:val="822"/>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6、售后服务方案：根据项目需求分析，承诺项目完成后为采购人继续提供合理后期跟踪服务及应急处理等方面进行详尽描述。</w:t>
      </w:r>
      <w:r>
        <w:rPr>
          <w:rFonts w:hint="eastAsia" w:ascii="宋体" w:hAnsi="宋体" w:eastAsia="宋体" w:cs="宋体"/>
          <w:color w:val="000000"/>
          <w:sz w:val="24"/>
          <w:szCs w:val="24"/>
        </w:rPr>
      </w:r>
      <w:r/>
    </w:p>
    <w:p>
      <w:pPr>
        <w:pStyle w:val="917"/>
        <w:numPr>
          <w:ilvl w:val="0"/>
          <w:numId w:val="0"/>
        </w:numPr>
        <w:ind w:firstLine="301"/>
        <w:spacing w:line="360" w:lineRule="auto"/>
        <w:rPr>
          <w:rFonts w:hint="eastAsia" w:ascii="宋体" w:hAnsi="宋体" w:eastAsia="宋体" w:cs="宋体"/>
          <w:b/>
          <w:bCs/>
          <w:color w:val="000000"/>
          <w:sz w:val="24"/>
          <w:szCs w:val="24"/>
          <w:highlight w:val="none"/>
        </w:rPr>
      </w:pPr>
      <w:r>
        <w:rPr>
          <w:rFonts w:hint="eastAsia" w:ascii="Calibri" w:hAnsi="Calibri" w:eastAsia="宋体" w:cs="Times New Roman"/>
          <w:color w:val="000000"/>
          <w:sz w:val="30"/>
          <w:szCs w:val="30"/>
          <w:highlight w:val="none"/>
          <w:lang w:val="en-US" w:eastAsia="zh-CN"/>
        </w:rPr>
        <w:t xml:space="preserve">八、商务要求</w:t>
      </w:r>
      <w:r>
        <w:rPr>
          <w:rFonts w:hint="eastAsia" w:ascii="宋体" w:hAnsi="宋体" w:eastAsia="宋体" w:cs="宋体"/>
          <w:b/>
          <w:bCs/>
          <w:color w:val="000000"/>
          <w:sz w:val="24"/>
          <w:szCs w:val="24"/>
          <w:highlight w:val="none"/>
        </w:rPr>
      </w:r>
      <w:r/>
    </w:p>
    <w:p>
      <w:pPr>
        <w:pStyle w:val="822"/>
        <w:ind w:firstLine="488"/>
        <w:spacing w:line="360" w:lineRule="auto"/>
        <w:widowControl/>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pacing w:val="2"/>
          <w:sz w:val="24"/>
          <w:szCs w:val="24"/>
          <w:highlight w:val="none"/>
        </w:rPr>
        <w:t xml:space="preserve">（1）服务期限：</w:t>
      </w:r>
      <w:r>
        <w:rPr>
          <w:rFonts w:hint="eastAsia" w:ascii="宋体" w:hAnsi="宋体" w:eastAsia="宋体" w:cs="宋体"/>
          <w:color w:val="000000"/>
          <w:sz w:val="24"/>
          <w:szCs w:val="24"/>
          <w:highlight w:val="none"/>
          <w:shd w:val="clear" w:color="auto" w:fill="ffffff"/>
        </w:rPr>
        <w:t xml:space="preserve">自合同签订之日起</w:t>
      </w:r>
      <w:r>
        <w:rPr>
          <w:rFonts w:hint="eastAsia" w:ascii="宋体" w:hAnsi="宋体" w:eastAsia="宋体" w:cs="宋体"/>
          <w:color w:val="000000"/>
          <w:sz w:val="24"/>
          <w:szCs w:val="24"/>
          <w:highlight w:val="none"/>
          <w:shd w:val="clear" w:color="auto" w:fill="ffffff"/>
          <w:lang w:val="en-US" w:eastAsia="zh-CN"/>
        </w:rPr>
        <w:t xml:space="preserve">2年，并满足采购人进度要求。</w:t>
      </w:r>
      <w:r>
        <w:rPr>
          <w:rFonts w:hint="eastAsia" w:ascii="宋体" w:hAnsi="宋体" w:eastAsia="宋体" w:cs="宋体"/>
          <w:color w:val="000000"/>
          <w:sz w:val="24"/>
          <w:szCs w:val="24"/>
          <w:highlight w:val="none"/>
          <w:shd w:val="clear" w:color="auto" w:fill="ffffff"/>
          <w:lang w:val="en-US" w:eastAsia="zh-CN"/>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（2）服务地点：采购人指定地点。</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（3）付款方式：</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预付款：合同金额的10%，合同签订后按规定支付；</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进度款：工作成果报告经生态环境局等相关部门评审通过后，</w:t>
      </w:r>
      <w:r>
        <w:rPr>
          <w:rFonts w:hint="eastAsia" w:ascii="宋体" w:hAnsi="宋体" w:eastAsia="宋体" w:cs="宋体"/>
          <w:b w:val="0"/>
          <w:color w:val="000000"/>
          <w:sz w:val="24"/>
          <w:szCs w:val="24"/>
          <w:lang w:val="en-US" w:eastAsia="zh-CN" w:bidi="ar-SA"/>
        </w:rPr>
        <w:t xml:space="preserve">按年度</w:t>
      </w:r>
      <w:r>
        <w:rPr>
          <w:rFonts w:hint="eastAsia" w:ascii="宋体" w:hAnsi="宋体" w:eastAsia="宋体" w:cs="宋体"/>
          <w:color w:val="000000"/>
          <w:spacing w:val="2"/>
          <w:sz w:val="24"/>
          <w:szCs w:val="24"/>
          <w:highlight w:val="none"/>
        </w:rPr>
        <w:t xml:space="preserve">向</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b w:val="0"/>
          <w:color w:val="000000"/>
          <w:sz w:val="24"/>
          <w:szCs w:val="24"/>
          <w:lang w:val="en-US" w:eastAsia="zh-CN" w:bidi="ar-SA"/>
        </w:rP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拨付相应土壤调查费</w:t>
      </w:r>
      <w:r>
        <w:rPr>
          <w:rFonts w:hint="eastAsia" w:ascii="宋体" w:hAnsi="宋体" w:eastAsia="宋体" w:cs="宋体"/>
          <w:b w:val="0"/>
          <w:color w:val="000000"/>
          <w:sz w:val="24"/>
          <w:szCs w:val="24"/>
          <w:lang w:val="en-US" w:eastAsia="zh-CN" w:bidi="ar-SA"/>
        </w:rPr>
        <w:t xml:space="preserve">(具体结算按实际完成面积乘以中标单价计算)。</w:t>
      </w:r>
      <w:r>
        <w:rPr>
          <w:rFonts w:hint="eastAsia" w:ascii="宋体" w:hAnsi="宋体" w:eastAsia="宋体" w:cs="宋体"/>
          <w:b w:val="0"/>
          <w:color w:val="000000"/>
          <w:sz w:val="24"/>
          <w:szCs w:val="24"/>
          <w:lang w:val="en-US" w:eastAsia="zh-CN" w:bidi="ar-SA"/>
        </w:rPr>
      </w:r>
      <w:r/>
    </w:p>
    <w:p>
      <w:pPr>
        <w:pStyle w:val="822"/>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rPr>
          <w:rFonts w:hint="eastAsia" w:ascii="宋体" w:hAnsi="宋体" w:eastAsia="宋体" w:cs="宋体"/>
          <w:color w:val="000000"/>
          <w:spacing w:val="2"/>
          <w:sz w:val="24"/>
          <w:szCs w:val="24"/>
          <w:highlight w:val="none"/>
          <w:lang w:val="en-US" w:eastAsia="zh-CN"/>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资金支付的时间：收到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个工作日内；</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资金支付的条件：满足相应阶段的要求且收到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822"/>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b w:val="0"/>
          <w:color w:val="000000"/>
          <w:sz w:val="24"/>
          <w:szCs w:val="24"/>
          <w:lang w:val="en-US" w:eastAsia="zh-CN" w:bidi="ar-SA"/>
        </w:rPr>
        <w:t xml:space="preserve">3.在签订合同时，中标人明确表示无需预付款或者主动要求降低预付款比例的金额，采购人可不适用预付款规定。</w:t>
      </w:r>
      <w:r>
        <w:rPr>
          <w:rFonts w:ascii="宋体" w:hAnsi="宋体" w:eastAsia="宋体" w:cs="宋体"/>
          <w:color w:val="000000"/>
          <w:sz w:val="24"/>
          <w:szCs w:val="24"/>
          <w:lang w:val="en-US" w:eastAsia="zh-CN"/>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（4）报价要求：</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highlight w:val="none"/>
          <w:lang w:val="en-US" w:eastAsia="zh-CN"/>
        </w:rPr>
        <w:t xml:space="preserve">投标报价应包含完成</w:t>
      </w:r>
      <w:r>
        <w:rPr>
          <w:rFonts w:hint="eastAsia" w:ascii="宋体" w:hAnsi="宋体" w:eastAsia="宋体" w:cs="宋体"/>
          <w:color w:val="000000"/>
          <w:sz w:val="24"/>
          <w:szCs w:val="24"/>
          <w:highlight w:val="none"/>
        </w:rPr>
        <w:t xml:space="preserve">本次</w:t>
      </w:r>
      <w:r>
        <w:rPr>
          <w:rFonts w:hint="eastAsia" w:ascii="宋体" w:hAnsi="宋体" w:eastAsia="宋体" w:cs="Times New Roman"/>
          <w:color w:val="000000"/>
          <w:sz w:val="24"/>
          <w:highlight w:val="none"/>
          <w:lang w:val="en-US" w:eastAsia="zh-CN"/>
        </w:rPr>
        <w:t xml:space="preserve">所有工作内容并提供全套合格成果文件的全部费用，包含但不限于完成本项目全部工作所需的人工费、交通费、服务费、劳保、维护、利润、税金等过程中发生的一切费用以及</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en-US" w:eastAsia="zh-CN"/>
        </w:rPr>
        <w:t xml:space="preserve">临时 性杂项应急服务费用、政策性文件规定及合同包含的所有风险、责任等各项应有费用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采购人不再另行支付其他费用。</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（5）质量技术标准：</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必须按照国家、省和市有关标准和要求开展调查工作，无国家标准的应符合行业标准，并满足</w:t>
      </w:r>
      <w:r>
        <w:rPr>
          <w:rFonts w:hint="eastAsia" w:ascii="宋体" w:hAnsi="宋体" w:cs="宋体"/>
          <w:color w:val="000000"/>
          <w:sz w:val="24"/>
          <w:szCs w:val="24"/>
          <w:lang w:val="en-US" w:eastAsia="zh-CN"/>
        </w:rPr>
        <w:t xml:space="preserve">采购</w:t>
      </w:r>
      <w:r>
        <w:rPr>
          <w:rFonts w:hint="eastAsia" w:ascii="宋体" w:hAnsi="宋体" w:eastAsia="宋体" w:cs="宋体"/>
          <w:color w:val="000000"/>
          <w:sz w:val="24"/>
          <w:szCs w:val="24"/>
        </w:rPr>
        <w:t xml:space="preserve">文件要求，实现响应文件承诺条款，如存在标准不一致现象按最高标准执行。</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（6）验收方法和标准</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1、验收标准：所提供的服务及质量有国家标准的应符合国家标准。无国家标准的应符合行业标准或企业标准，并满足采购文件要求。</w:t>
      </w:r>
      <w:r>
        <w:rPr>
          <w:rFonts w:hint="eastAsia" w:ascii="宋体" w:hAnsi="宋体" w:eastAsia="宋体" w:cs="宋体"/>
          <w:b/>
          <w:bCs/>
          <w:color w:val="000000"/>
          <w:sz w:val="24"/>
          <w:szCs w:val="24"/>
        </w:rPr>
        <w:t xml:space="preserve">调查成果通过生态环境主管部门组织的专家评审并经生态环境主管部门备案。</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2、验收要求：服务期结束后3个工作日内依法组织履约验收。</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根据项目特点进行验收。履约验收程序按甲方要求。</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以</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文件、合同为依据，</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提交最终成果并通过相关部门审查后完成最终验收。最终验收时间以相关部门审查备案通过时间为准，各项资料存档备查。若因</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原因造成无法验收通过的，采购人将拒绝付款，并追究</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的违约责任。</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3、验收合格的项目，</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根据采购合同的约定及时向</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支付合同款项。验收不合格的项目，</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依法及时处理。采购合同的履行、违约责任和解决争议的方式等适用</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在履约过程中有政府采购法律法规规定的违法违规情形的，</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将及时报告本级财政部门。</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（7）采购人因部、省、市、县出台的新的技术标准和要求或规范规程时，变更委托项目工作内容、压缩工期、修改项目实质性工作内容（如要求供应商提供超出质量标准以外的质量要求等）或因其他原因，导致</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工作返工或增加工作量的，双方应另行协商签订补充协议增加工作经费。</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）项目完成后，如采购人需要打印图件或文本资料，</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应第一时间响应。</w:t>
      </w:r>
      <w:r>
        <w:rPr>
          <w:rFonts w:hint="eastAsia" w:ascii="宋体" w:hAnsi="宋体" w:eastAsia="宋体" w:cs="宋体"/>
          <w:color w:val="000000"/>
          <w:sz w:val="24"/>
          <w:szCs w:val="24"/>
        </w:rPr>
      </w:r>
      <w:r/>
    </w:p>
    <w:p>
      <w:pPr>
        <w:pStyle w:val="917"/>
        <w:numPr>
          <w:ilvl w:val="0"/>
          <w:numId w:val="0"/>
        </w:numPr>
        <w:ind w:firstLine="301"/>
        <w:spacing w:line="360" w:lineRule="auto"/>
        <w:rPr>
          <w:rFonts w:hint="eastAsia"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九、其他要求</w:t>
      </w:r>
      <w:r>
        <w:rPr>
          <w:rFonts w:hint="eastAsia" w:ascii="Calibri" w:hAnsi="Calibri" w:eastAsia="宋体" w:cs="Times New Roman"/>
          <w:color w:val="000000"/>
          <w:sz w:val="30"/>
          <w:szCs w:val="30"/>
          <w:highlight w:val="none"/>
          <w:lang w:val="en-US" w:eastAsia="zh-CN"/>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需充分了解现状情况，充分收集相关资料，听取有关部门意见，外地供应商应深入本地开展调研工作。</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须实地</w:t>
      </w:r>
      <w:r>
        <w:rPr>
          <w:rFonts w:hint="eastAsia" w:ascii="宋体" w:hAnsi="宋体" w:eastAsia="宋体" w:cs="宋体"/>
          <w:color w:val="000000"/>
          <w:sz w:val="24"/>
          <w:szCs w:val="24"/>
          <w:lang w:eastAsia="zh-CN"/>
        </w:rPr>
        <w:t xml:space="preserve">勘查现场</w:t>
      </w:r>
      <w:r>
        <w:rPr>
          <w:rFonts w:hint="eastAsia" w:ascii="宋体" w:hAnsi="宋体" w:eastAsia="宋体" w:cs="宋体"/>
          <w:color w:val="000000"/>
          <w:sz w:val="24"/>
          <w:szCs w:val="24"/>
        </w:rPr>
        <w:t xml:space="preserve">，根据现场实际情况做出符合采购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要求的整体方案，费用及安全财产责任由</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自行承担。未踏勘现场的供应商中标后，不得以不完全了解现场情况为理由而向采购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提出任何索赔或其他要求，对此采购单位不承担任何责任并将不作任何答复。</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后，项目组人员配备应按响应文件中承诺的实施</w:t>
      </w:r>
      <w:r>
        <w:rPr>
          <w:rFonts w:hint="eastAsia" w:ascii="宋体" w:hAnsi="宋体" w:cs="宋体"/>
          <w:color w:val="000000"/>
          <w:sz w:val="24"/>
          <w:szCs w:val="24"/>
          <w:lang w:eastAsia="zh-CN"/>
        </w:rPr>
        <w:t xml:space="preserve">计划，</w:t>
      </w:r>
      <w:r>
        <w:rPr>
          <w:rFonts w:hint="eastAsia" w:ascii="宋体" w:hAnsi="宋体" w:eastAsia="宋体" w:cs="宋体"/>
          <w:color w:val="000000"/>
          <w:sz w:val="24"/>
          <w:szCs w:val="24"/>
        </w:rPr>
        <w:t xml:space="preserve">不经采购单位同意，不得更换。</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安全责任</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中标人做好安全生产条件评估和人身安全培训，配备相应的个人防护用品，在工作期间，实施过程中一切安全责任自行承担。</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、技术成果和版权归属：</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受采购人委托完成的方案编制成果文稿版权归采购人。未经采购人允许，</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不得将技术成果、版权向第三方转让，否则采购人有权追究</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的责任。</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6、技术情况和资料的保密：未经采购人的许可，</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不得向其他第三方单位或个人提供或透露采购人提供的资料和数据，不得自行发布、发表成果；</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不得将编制成果作为其它商业用途，否则采购人有权追究</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的责任。</w:t>
      </w:r>
      <w:r>
        <w:rPr>
          <w:rFonts w:hint="eastAsia" w:ascii="宋体" w:hAnsi="宋体" w:eastAsia="宋体" w:cs="宋体"/>
          <w:color w:val="000000"/>
          <w:sz w:val="24"/>
          <w:szCs w:val="24"/>
          <w:lang w:val="en-US" w:eastAsia="zh-CN"/>
        </w:rPr>
      </w:r>
      <w:r/>
    </w:p>
    <w:p>
      <w:pPr>
        <w:pStyle w:val="822"/>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应及时向</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en-US" w:eastAsia="zh-CN"/>
        </w:rPr>
        <w:t xml:space="preserve">汇报调查报告编制工作进展情况，并根据</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en-US" w:eastAsia="zh-CN"/>
        </w:rPr>
        <w:t xml:space="preserve">要求及时完善相关内容。</w:t>
      </w:r>
      <w:r>
        <w:rPr>
          <w:rFonts w:hint="eastAsia" w:ascii="宋体" w:hAnsi="宋体" w:eastAsia="宋体" w:cs="宋体"/>
          <w:color w:val="000000"/>
          <w:sz w:val="24"/>
          <w:szCs w:val="24"/>
          <w:lang w:val="en-US" w:eastAsia="zh-CN"/>
        </w:rPr>
      </w:r>
      <w:r/>
    </w:p>
    <w:p>
      <w:pPr>
        <w:pStyle w:val="822"/>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、如因地块推迟挂牌，在已完成土壤污染状况调查至挂牌前地块用地现状未发生变化的情况下，调查成果继续有效;若在已完成土壤污染状况调查至挂牌前地块用地现状发生变化，则</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补充调查，不再另外收取费用。</w:t>
      </w:r>
      <w:r>
        <w:rPr>
          <w:rFonts w:hint="eastAsia" w:ascii="宋体" w:hAnsi="宋体" w:eastAsia="宋体" w:cs="宋体"/>
          <w:color w:val="000000"/>
          <w:sz w:val="24"/>
          <w:szCs w:val="24"/>
          <w:lang w:val="en-US" w:eastAsia="zh-CN"/>
        </w:rPr>
      </w:r>
      <w:r/>
    </w:p>
    <w:p>
      <w:pPr>
        <w:pStyle w:val="822"/>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调查过程中不得对土壤、地下水造成二次污染。</w:t>
      </w:r>
      <w:r>
        <w:rPr>
          <w:rFonts w:hint="eastAsia" w:ascii="宋体" w:hAnsi="宋体" w:eastAsia="宋体" w:cs="宋体"/>
          <w:color w:val="000000"/>
          <w:sz w:val="24"/>
          <w:szCs w:val="24"/>
          <w:lang w:val="en-US" w:eastAsia="zh-CN"/>
        </w:rPr>
      </w:r>
      <w:r/>
    </w:p>
    <w:p>
      <w:pPr>
        <w:pStyle w:val="822"/>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、每年12月31日前提交调查成果汇报及工作成效宣传材料。</w:t>
      </w:r>
      <w:r>
        <w:rPr>
          <w:rFonts w:hint="eastAsia" w:ascii="宋体" w:hAnsi="宋体" w:eastAsia="宋体" w:cs="宋体"/>
          <w:color w:val="000000"/>
          <w:sz w:val="24"/>
          <w:szCs w:val="24"/>
          <w:lang w:val="en-US" w:eastAsia="zh-CN"/>
        </w:rPr>
      </w:r>
      <w:r/>
    </w:p>
    <w:p>
      <w:pPr>
        <w:pStyle w:val="1281"/>
        <w:ind w:firstLine="480"/>
        <w:jc w:val="both"/>
        <w:spacing w:before="0" w:beforeAutospacing="0" w:after="0" w:afterAutospacing="0" w:line="400" w:lineRule="exact"/>
        <w:widowControl w:val="off"/>
        <w:rPr>
          <w:rFonts w:ascii="Times New Roman" w:hAnsi="Times New Roman" w:eastAsia="等线" w:cs="仿宋"/>
          <w:color w:val="000000"/>
          <w:highlight w:val="yellow"/>
        </w:rPr>
      </w:pPr>
      <w:r>
        <w:rPr>
          <w:rFonts w:ascii="Times New Roman" w:hAnsi="Times New Roman" w:eastAsia="等线" w:cs="仿宋"/>
          <w:color w:val="000000"/>
          <w:highlight w:val="yellow"/>
        </w:rPr>
      </w:r>
      <w:r/>
    </w:p>
    <w:p>
      <w:pPr>
        <w:pStyle w:val="1281"/>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822"/>
        <w:rPr>
          <w:rFonts w:hint="eastAsia"/>
          <w:color w:val="000000"/>
          <w:highlight w:val="none"/>
        </w:rPr>
      </w:pPr>
      <w:r/>
      <w:bookmarkStart w:id="126" w:name="_Toc2513"/>
      <w:r/>
      <w:bookmarkStart w:id="127" w:name="_Toc31499"/>
      <w:r/>
      <w:bookmarkStart w:id="128" w:name="_Toc81575206"/>
      <w:r/>
      <w:bookmarkStart w:id="129" w:name="_Toc22098"/>
      <w:r/>
      <w:bookmarkStart w:id="130" w:name="_Toc81575169"/>
      <w:r>
        <w:rPr>
          <w:rFonts w:hint="eastAsia"/>
          <w:color w:val="000000"/>
          <w:highlight w:val="none"/>
        </w:rPr>
      </w:r>
      <w:r/>
    </w:p>
    <w:p>
      <w:pPr>
        <w:pStyle w:val="82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6"/>
      <w:r/>
      <w:bookmarkEnd w:id="127"/>
      <w:r/>
      <w:bookmarkEnd w:id="128"/>
      <w:r/>
      <w:bookmarkEnd w:id="129"/>
      <w:r/>
      <w:bookmarkEnd w:id="130"/>
      <w:r/>
      <w:bookmarkStart w:id="131" w:name="_Toc513029243"/>
      <w:r/>
      <w:bookmarkStart w:id="132" w:name="_Toc16938559"/>
      <w:r/>
      <w:bookmarkStart w:id="133" w:name="_Toc20823315"/>
      <w:r>
        <w:rPr>
          <w:rFonts w:hint="eastAsia" w:ascii="Calibri" w:hAnsi="Calibri" w:eastAsia="宋体" w:cs="Times New Roman"/>
          <w:b/>
          <w:color w:val="000000"/>
          <w:sz w:val="44"/>
          <w:szCs w:val="44"/>
          <w:highlight w:val="none"/>
        </w:rPr>
      </w:r>
      <w:r/>
    </w:p>
    <w:p>
      <w:pPr>
        <w:pStyle w:val="822"/>
        <w:jc w:val="center"/>
        <w:rPr>
          <w:rFonts w:hint="eastAsia"/>
          <w:color w:val="000000"/>
          <w:sz w:val="72"/>
          <w:szCs w:val="72"/>
          <w:highlight w:val="none"/>
        </w:rPr>
      </w:pPr>
      <w:r>
        <w:rPr>
          <w:rFonts w:hint="eastAsia"/>
          <w:color w:val="000000"/>
          <w:sz w:val="72"/>
          <w:szCs w:val="72"/>
          <w:highlight w:val="none"/>
        </w:rPr>
      </w:r>
      <w:r/>
    </w:p>
    <w:p>
      <w:pPr>
        <w:pStyle w:val="822"/>
        <w:jc w:val="center"/>
        <w:rPr>
          <w:rFonts w:hint="eastAsia"/>
          <w:color w:val="000000"/>
          <w:sz w:val="72"/>
          <w:szCs w:val="72"/>
          <w:highlight w:val="none"/>
        </w:rPr>
      </w:pPr>
      <w:r>
        <w:rPr>
          <w:rFonts w:hint="eastAsia"/>
          <w:color w:val="000000"/>
          <w:sz w:val="72"/>
          <w:szCs w:val="72"/>
          <w:highlight w:val="none"/>
        </w:rPr>
      </w:r>
      <w:r/>
    </w:p>
    <w:p>
      <w:pPr>
        <w:pStyle w:val="822"/>
        <w:jc w:val="center"/>
        <w:rPr>
          <w:color w:val="000000"/>
          <w:sz w:val="32"/>
          <w:szCs w:val="32"/>
          <w:highlight w:val="none"/>
        </w:rPr>
      </w:pPr>
      <w:r>
        <w:rPr>
          <w:rFonts w:hint="eastAsia"/>
          <w:color w:val="000000"/>
          <w:sz w:val="72"/>
          <w:szCs w:val="72"/>
          <w:highlight w:val="none"/>
        </w:rPr>
        <w:t xml:space="preserve">政府采购合同</w:t>
      </w: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822"/>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822"/>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822"/>
        <w:ind w:left="1820" w:hanging="140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sz w:val="30"/>
          <w:szCs w:val="30"/>
          <w:u w:val="single"/>
          <w:lang w:eastAsia="zh-CN"/>
        </w:rPr>
        <w:t xml:space="preserve">泗洪县（2026-2028年度）“一住两公”地块土壤污染状况调查服务采购项目</w:t>
      </w:r>
      <w:r>
        <w:rPr>
          <w:rFonts w:hint="eastAsia"/>
          <w:color w:val="000000"/>
          <w:sz w:val="28"/>
          <w:szCs w:val="28"/>
          <w:highlight w:val="none"/>
          <w:u w:val="single"/>
        </w:rPr>
        <w:t xml:space="preserve">  </w:t>
      </w:r>
      <w:r>
        <w:rPr>
          <w:color w:val="000000"/>
          <w:sz w:val="28"/>
          <w:szCs w:val="28"/>
          <w:highlight w:val="none"/>
        </w:rPr>
      </w:r>
      <w:r/>
    </w:p>
    <w:p>
      <w:pPr>
        <w:pStyle w:val="822"/>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822"/>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lang w:eastAsia="zh-CN"/>
        </w:rPr>
        <w:t xml:space="preserve">泗洪县自然资源和规划局</w:t>
      </w:r>
      <w:r>
        <w:rPr>
          <w:rFonts w:hint="eastAsia"/>
          <w:color w:val="000000"/>
          <w:sz w:val="28"/>
          <w:szCs w:val="28"/>
          <w:highlight w:val="none"/>
          <w:u w:val="single"/>
        </w:rPr>
        <w:t xml:space="preserve">   </w:t>
      </w:r>
      <w:r>
        <w:rPr>
          <w:color w:val="000000"/>
          <w:sz w:val="28"/>
          <w:szCs w:val="28"/>
          <w:highlight w:val="none"/>
        </w:rPr>
      </w:r>
      <w:r/>
    </w:p>
    <w:p>
      <w:pPr>
        <w:pStyle w:val="822"/>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822"/>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822"/>
        <w:jc w:val="center"/>
        <w:rPr>
          <w:color w:val="000000"/>
          <w:sz w:val="32"/>
          <w:szCs w:val="32"/>
          <w:highlight w:val="none"/>
        </w:rPr>
      </w:pP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jc w:val="center"/>
        <w:rPr>
          <w:color w:val="000000"/>
          <w:sz w:val="32"/>
          <w:szCs w:val="32"/>
          <w:highlight w:val="none"/>
        </w:rPr>
      </w:pPr>
      <w:r>
        <w:rPr>
          <w:color w:val="000000"/>
          <w:sz w:val="32"/>
          <w:szCs w:val="32"/>
          <w:highlight w:val="none"/>
        </w:rPr>
      </w:r>
      <w:r/>
    </w:p>
    <w:p>
      <w:pPr>
        <w:pStyle w:val="822"/>
        <w:ind w:firstLine="480"/>
        <w:spacing w:line="400" w:lineRule="exact"/>
        <w:rPr>
          <w:rFonts w:ascii="宋体" w:hAnsi="宋体" w:cs="Courier New"/>
          <w:color w:val="000000"/>
          <w:sz w:val="24"/>
          <w:szCs w:val="24"/>
          <w:highlight w:val="none"/>
        </w:rPr>
        <w:sectPr>
          <w:footerReference w:type="default" r:id="rId12"/>
          <w:footnotePr/>
          <w:endnotePr/>
          <w:type w:val="continuous"/>
          <w:pgSz w:w="11906" w:h="16838" w:orient="portrait"/>
          <w:pgMar w:top="1440" w:right="1800" w:bottom="1440" w:left="1800" w:header="851" w:footer="992" w:gutter="0"/>
          <w:pgNumType w:start="1"/>
          <w:cols w:num="1" w:sep="0" w:space="1701" w:equalWidth="1"/>
          <w:docGrid w:linePitch="360"/>
        </w:sectPr>
      </w:pPr>
      <w:r>
        <w:rPr>
          <w:rFonts w:ascii="宋体" w:hAnsi="宋体" w:cs="Courier New"/>
          <w:color w:val="000000"/>
          <w:sz w:val="24"/>
          <w:szCs w:val="24"/>
          <w:highlight w:val="none"/>
        </w:rPr>
        <w:br w:type="page" w:clear="all"/>
      </w:r>
      <w:r/>
    </w:p>
    <w:p>
      <w:pPr>
        <w:pStyle w:val="822"/>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val="en-US" w:eastAsia="zh-CN"/>
        </w:rPr>
        <w:t xml:space="preserve">采购人</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_________</w:t>
      </w:r>
      <w:r>
        <w:rPr>
          <w:rFonts w:hint="eastAsia" w:ascii="宋体" w:hAnsi="宋体" w:cs="Courier New"/>
          <w:color w:val="000000"/>
          <w:sz w:val="24"/>
          <w:szCs w:val="24"/>
          <w:highlight w:val="none"/>
        </w:rPr>
      </w:r>
      <w:r/>
    </w:p>
    <w:p>
      <w:pPr>
        <w:pStyle w:val="822"/>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成交</w:t>
      </w:r>
      <w:r>
        <w:rPr>
          <w:rFonts w:hint="eastAsia" w:ascii="宋体" w:hAnsi="宋体" w:cs="Courier New"/>
          <w:color w:val="000000"/>
          <w:sz w:val="24"/>
          <w:szCs w:val="24"/>
          <w:highlight w:val="none"/>
          <w:lang w:val="en-US" w:eastAsia="zh-CN"/>
        </w:rPr>
        <w:t xml:space="preserve">供应商</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_________</w:t>
      </w:r>
      <w:r>
        <w:rPr>
          <w:rFonts w:hint="eastAsia" w:ascii="宋体" w:hAnsi="宋体" w:cs="Courier New"/>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依据《中华人民共和国民法典》、《中华人民共和国政府采购法》等有关的法律法规，以及本采购项目</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文件、乙方的《</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文件》及《</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rPr>
        <w:t xml:space="preserve">通知书》，甲乙双方同意签订本合同。具体情况及要求如下：</w:t>
      </w:r>
      <w:r>
        <w:rPr>
          <w:rFonts w:hint="eastAsia" w:ascii="宋体" w:hAnsi="宋体"/>
          <w:color w:val="000000"/>
          <w:sz w:val="24"/>
          <w:szCs w:val="24"/>
          <w:highlight w:val="none"/>
        </w:rPr>
      </w:r>
      <w:r/>
    </w:p>
    <w:p>
      <w:pPr>
        <w:pStyle w:val="822"/>
        <w:ind w:firstLine="482"/>
        <w:spacing w:line="40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一、项目信息</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1.采购项目名称：</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r>
      <w:r/>
    </w:p>
    <w:p>
      <w:pPr>
        <w:pStyle w:val="822"/>
        <w:ind w:left="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采购项目编号：</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2.项目内容：</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3.政府采购组织形式：</w:t>
      </w:r>
      <w:r>
        <w:rPr>
          <w:rFonts w:hint="eastAsia" w:ascii="Times New Roman" w:hAnsi="Times New Roman"/>
          <w:color w:val="000000"/>
          <w:sz w:val="24"/>
          <w:szCs w:val="24"/>
          <w:highlight w:val="none"/>
          <w:lang w:val="en-US" w:eastAsia="zh-CN"/>
        </w:rPr>
        <w:t xml:space="preserve">分散</w:t>
      </w:r>
      <w:r>
        <w:rPr>
          <w:rFonts w:ascii="Times New Roman" w:hAnsi="Times New Roman"/>
          <w:color w:val="000000"/>
          <w:sz w:val="24"/>
          <w:szCs w:val="24"/>
          <w:highlight w:val="none"/>
        </w:rPr>
        <w:t xml:space="preserve">采购</w:t>
      </w:r>
      <w:r>
        <w:rPr>
          <w:rFonts w:ascii="Times New Roman" w:hAnsi="Times New Roman"/>
          <w:color w:val="000000"/>
          <w:sz w:val="24"/>
          <w:szCs w:val="24"/>
          <w:highlight w:val="none"/>
        </w:rPr>
      </w:r>
      <w:r/>
    </w:p>
    <w:p>
      <w:pPr>
        <w:pStyle w:val="822"/>
        <w:ind w:firstLine="480"/>
        <w:spacing w:line="400" w:lineRule="exact"/>
        <w:rPr>
          <w:rFonts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4.政府采购方式：</w:t>
      </w:r>
      <w:r>
        <w:rPr>
          <w:rFonts w:hint="eastAsia" w:ascii="Times New Roman" w:hAnsi="Times New Roman"/>
          <w:color w:val="000000"/>
          <w:sz w:val="24"/>
          <w:szCs w:val="24"/>
          <w:highlight w:val="none"/>
          <w:lang w:val="en-US" w:eastAsia="zh-CN"/>
        </w:rPr>
        <w:t xml:space="preserve">公开招标</w:t>
      </w:r>
      <w:r>
        <w:rPr>
          <w:rFonts w:ascii="Times New Roman" w:hAnsi="Times New Roman" w:eastAsia="宋体"/>
          <w:color w:val="000000"/>
          <w:sz w:val="24"/>
          <w:szCs w:val="24"/>
          <w:highlight w:val="none"/>
          <w:lang w:val="en-US" w:eastAsia="zh-CN"/>
        </w:rPr>
      </w:r>
      <w:r/>
    </w:p>
    <w:p>
      <w:pPr>
        <w:pStyle w:val="1284"/>
        <w:ind w:firstLine="480"/>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是否为中小企业：</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本合同是否为专门面向中小企业的采购合同（中小企业预留合同）：</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若本项目不专门面向中小企业采购，是否给予小微企业评审优惠：</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是否为残疾人福利性单位：</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是否为监狱企业：</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p>
      <w:pPr>
        <w:pStyle w:val="822"/>
        <w:ind w:firstLine="480"/>
        <w:spacing w:line="400" w:lineRule="exact"/>
        <w:rPr>
          <w:rFonts w:hint="eastAsia" w:ascii="宋体" w:hAnsi="宋体" w:cs="宋体"/>
          <w:color w:val="000000"/>
          <w:sz w:val="24"/>
          <w:szCs w:val="24"/>
          <w:highlight w:val="none"/>
        </w:rPr>
      </w:pPr>
      <w:r>
        <w:rPr>
          <w:rFonts w:ascii="Times New Roman" w:hAnsi="Times New Roman"/>
          <w:color w:val="000000"/>
          <w:sz w:val="24"/>
          <w:szCs w:val="24"/>
          <w:highlight w:val="none"/>
        </w:rPr>
        <w:t xml:space="preserve">6.合同是否分包：</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备注：选择否删除以下相关条款，磋商文件定稿后该备注删除。）</w:t>
      </w:r>
      <w:r>
        <w:rPr>
          <w:rFonts w:hint="eastAsia" w:ascii="宋体" w:hAnsi="宋体" w:cs="宋体"/>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分包主要内容：                                            </w:t>
      </w:r>
      <w:r>
        <w:rPr>
          <w:rFonts w:ascii="Times New Roman" w:hAnsi="Times New Roman" w:eastAsia="宋体" w:cs="Times New Roman"/>
          <w:color w:val="000000"/>
          <w:sz w:val="24"/>
          <w:szCs w:val="24"/>
          <w:highlight w:val="none"/>
        </w:rPr>
      </w:r>
      <w:r/>
    </w:p>
    <w:p>
      <w:pPr>
        <w:pStyle w:val="1284"/>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分包</w:t>
      </w: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名称</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2"/>
        <w:ind w:firstLine="480"/>
        <w:spacing w:line="400" w:lineRule="exact"/>
        <w:rPr>
          <w:rFonts w:ascii="Times New Roman" w:hAnsi="Times New Roman"/>
          <w:iCs/>
          <w:color w:val="000000"/>
          <w:sz w:val="24"/>
          <w:szCs w:val="24"/>
          <w:highlight w:val="none"/>
        </w:rPr>
      </w:pPr>
      <w:r>
        <w:rPr>
          <w:rFonts w:ascii="Times New Roman" w:hAnsi="Times New Roman"/>
          <w:color w:val="000000"/>
          <w:sz w:val="24"/>
          <w:szCs w:val="24"/>
          <w:highlight w:val="none"/>
        </w:rPr>
        <w:t xml:space="preserve">分包</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类型</w:t>
      </w:r>
      <w:r>
        <w:rPr>
          <w:rFonts w:hint="eastAsia" w:ascii="Times New Roman" w:hAnsi="Times New Roman"/>
          <w:color w:val="000000"/>
          <w:sz w:val="24"/>
          <w:szCs w:val="24"/>
          <w:highlight w:val="none"/>
        </w:rPr>
        <w:t xml:space="preserve">：</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大型企业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中型企业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小微型企业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残疾人福利性单位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监狱企业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其他</w:t>
      </w:r>
      <w:r>
        <w:rPr>
          <w:rFonts w:ascii="Times New Roman" w:hAnsi="Times New Roman"/>
          <w:iCs/>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7.是否涉及节能产品：</w:t>
      </w:r>
      <w:r>
        <w:rPr>
          <w:rFonts w:ascii="Times New Roman" w:hAnsi="Times New Roman"/>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是，《节能产品政府采购品目清单》的底级品目名称：</w:t>
      </w:r>
      <w:r>
        <w:rPr>
          <w:rFonts w:hint="eastAsia" w:ascii="宋体" w:hAnsi="宋体"/>
          <w:color w:val="000000"/>
          <w:sz w:val="24"/>
          <w:szCs w:val="24"/>
          <w:highlight w:val="none"/>
          <w:u w:val="single"/>
        </w:rPr>
        <w:t xml:space="preserve">         </w:t>
      </w:r>
      <w:r>
        <w:rPr>
          <w:rFonts w:hint="eastAsia" w:ascii="宋体" w:hAnsi="宋体"/>
          <w:iCs/>
          <w:color w:val="000000"/>
          <w:sz w:val="24"/>
          <w:szCs w:val="24"/>
          <w:highlight w:val="none"/>
        </w:rPr>
        <w:t xml:space="preserve">     </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是否涉及环境标志产品：</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是，《环境标志产品政府采购品目清单》的底级品目名称：</w:t>
      </w:r>
      <w:r>
        <w:rPr>
          <w:rFonts w:hint="eastAsia" w:ascii="宋体" w:hAnsi="宋体"/>
          <w:color w:val="000000"/>
          <w:sz w:val="24"/>
          <w:szCs w:val="24"/>
          <w:highlight w:val="none"/>
          <w:u w:val="single"/>
        </w:rPr>
        <w:t xml:space="preserve">         </w:t>
      </w:r>
      <w:r>
        <w:rPr>
          <w:rFonts w:hint="eastAsia" w:ascii="宋体" w:hAnsi="宋体"/>
          <w:iCs/>
          <w:color w:val="000000"/>
          <w:sz w:val="24"/>
          <w:szCs w:val="24"/>
          <w:highlight w:val="none"/>
        </w:rPr>
        <w:t xml:space="preserve"> </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是否涉及绿色产品：</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是，绿色产品政府采购相关政策确定的底级品目名称：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822"/>
        <w:ind w:firstLine="480"/>
        <w:spacing w:line="400" w:lineRule="exact"/>
        <w:rPr>
          <w:rFonts w:hint="eastAsia" w:ascii="宋体" w:hAnsi="宋体"/>
          <w:iCs/>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rPr>
          <w:rFonts w:hint="eastAsia" w:ascii="宋体" w:hAnsi="宋体"/>
          <w:iCs/>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8.涉及商品包装和快递包装的，是否参考《商品包装政府采购需求标准（试行）》、《快递包装政府采购需求标准（试行）》明确产品及相关快递服务的具体包装要求：</w:t>
      </w:r>
      <w:r>
        <w:rPr>
          <w:rFonts w:hint="eastAsia" w:ascii="宋体" w:hAnsi="宋体"/>
          <w:color w:val="000000"/>
          <w:sz w:val="24"/>
          <w:szCs w:val="24"/>
          <w:highlight w:val="none"/>
        </w:rPr>
      </w:r>
      <w:r/>
    </w:p>
    <w:p>
      <w:pPr>
        <w:pStyle w:val="822"/>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不涉及</w:t>
      </w:r>
      <w:r>
        <w:rPr>
          <w:rFonts w:hint="eastAsia" w:ascii="宋体" w:hAnsi="宋体"/>
          <w:color w:val="000000"/>
          <w:sz w:val="24"/>
          <w:szCs w:val="24"/>
          <w:highlight w:val="none"/>
        </w:rPr>
      </w:r>
      <w:r/>
    </w:p>
    <w:p>
      <w:pPr>
        <w:pStyle w:val="822"/>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hint="eastAsia" w:ascii="宋体" w:hAnsi="宋体" w:cs="Courier New"/>
          <w:b/>
          <w:color w:val="000000"/>
          <w:sz w:val="24"/>
          <w:szCs w:val="24"/>
          <w:highlight w:val="none"/>
        </w:rPr>
      </w:r>
      <w:r/>
    </w:p>
    <w:p>
      <w:pPr>
        <w:pStyle w:val="822"/>
        <w:ind w:firstLine="480"/>
        <w:spacing w:line="40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1.合同金额小写：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822"/>
        <w:ind w:firstLine="480"/>
        <w:spacing w:line="40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822"/>
        <w:ind w:firstLine="482"/>
        <w:spacing w:line="400" w:lineRule="exact"/>
        <w:rPr>
          <w:rFonts w:hint="eastAsia" w:ascii="宋体" w:hAnsi="宋体"/>
          <w:color w:val="000000"/>
          <w:sz w:val="24"/>
          <w:szCs w:val="24"/>
          <w:highlight w:val="none"/>
          <w:u w:val="single"/>
        </w:rPr>
      </w:pPr>
      <w:r>
        <w:rPr>
          <w:rFonts w:hint="eastAsia" w:ascii="宋体" w:hAnsi="宋体" w:cs="Courier New"/>
          <w:b/>
          <w:color w:val="000000"/>
          <w:sz w:val="24"/>
          <w:szCs w:val="24"/>
          <w:highlight w:val="none"/>
        </w:rPr>
        <w:t xml:space="preserve">2.付款方式</w:t>
      </w:r>
      <w:r>
        <w:rPr>
          <w:rFonts w:hint="eastAsia" w:ascii="宋体" w:hAnsi="宋体"/>
          <w:color w:val="000000"/>
          <w:sz w:val="24"/>
          <w:szCs w:val="24"/>
          <w:highlight w:val="none"/>
          <w:u w:val="single"/>
        </w:rPr>
      </w:r>
      <w:r/>
    </w:p>
    <w:p>
      <w:pPr>
        <w:pStyle w:val="822"/>
        <w:ind w:firstLine="480"/>
        <w:keepLines w:val="0"/>
        <w:keepNext w:val="0"/>
        <w:pageBreakBefore w:val="0"/>
        <w:spacing w:line="360" w:lineRule="auto"/>
        <w:widowControl w:val="off"/>
        <w:rPr>
          <w:rFonts w:ascii="Times New Roman" w:hAnsi="Times New Roman"/>
          <w:color w:val="000000"/>
          <w:sz w:val="24"/>
          <w:szCs w:val="24"/>
          <w:highlight w:val="none"/>
        </w:rPr>
      </w:pPr>
      <w:r/>
      <w:bookmarkStart w:id="134" w:name="_Hlk187852770"/>
      <w:r>
        <w:rPr>
          <w:rFonts w:hint="eastAsia" w:ascii="宋体" w:hAnsi="宋体" w:cs="Courier New"/>
          <w:color w:val="000000"/>
          <w:sz w:val="24"/>
          <w:szCs w:val="24"/>
          <w:highlight w:val="none"/>
        </w:rPr>
        <w:t xml:space="preserve">分期付款：（应明确分期支付合同款项的各期比例和支付条件，各期支付条件应与</w:t>
      </w:r>
      <w:r>
        <w:rPr>
          <w:rFonts w:ascii="Times New Roman" w:hAnsi="Times New Roman"/>
          <w:color w:val="000000"/>
          <w:sz w:val="24"/>
          <w:szCs w:val="24"/>
          <w:highlight w:val="none"/>
        </w:rPr>
        <w:t xml:space="preserve">分期履约验收情况挂钩）</w:t>
      </w:r>
      <w:bookmarkEnd w:id="134"/>
      <w:r>
        <w:rPr>
          <w:rFonts w:ascii="Times New Roman" w:hAnsi="Times New Roman"/>
          <w:color w:val="000000"/>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预付款：</w:t>
      </w:r>
      <w:r>
        <w:rPr>
          <w:rFonts w:hint="eastAsia" w:ascii="宋体" w:hAnsi="宋体" w:eastAsia="宋体" w:cs="宋体"/>
          <w:color w:val="000000"/>
          <w:spacing w:val="2"/>
          <w:sz w:val="24"/>
          <w:szCs w:val="24"/>
          <w:highlight w:val="none"/>
        </w:rPr>
        <w:t xml:space="preserve">合同金额的10%，合同签订后按规定支付；</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进度款：工作成果报告经生态环境局等相关部门评审通过后，</w:t>
      </w:r>
      <w:r>
        <w:rPr>
          <w:rFonts w:hint="eastAsia" w:ascii="宋体" w:hAnsi="宋体" w:eastAsia="宋体" w:cs="宋体"/>
          <w:b w:val="0"/>
          <w:color w:val="000000"/>
          <w:sz w:val="24"/>
          <w:szCs w:val="24"/>
          <w:lang w:val="en-US" w:eastAsia="zh-CN" w:bidi="ar-SA"/>
        </w:rPr>
        <w:t xml:space="preserve">按年度</w:t>
      </w:r>
      <w:r>
        <w:rPr>
          <w:rFonts w:hint="eastAsia" w:ascii="宋体" w:hAnsi="宋体" w:eastAsia="宋体" w:cs="宋体"/>
          <w:color w:val="000000"/>
          <w:spacing w:val="2"/>
          <w:sz w:val="24"/>
          <w:szCs w:val="24"/>
          <w:highlight w:val="none"/>
        </w:rPr>
        <w:t xml:space="preserve">向</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拨付相应土壤调查费</w:t>
      </w:r>
      <w:r>
        <w:rPr>
          <w:rFonts w:hint="eastAsia" w:ascii="宋体" w:hAnsi="宋体" w:eastAsia="宋体" w:cs="宋体"/>
          <w:b w:val="0"/>
          <w:color w:val="000000"/>
          <w:sz w:val="24"/>
          <w:szCs w:val="24"/>
          <w:lang w:val="en-US" w:eastAsia="zh-CN" w:bidi="ar-SA"/>
        </w:rPr>
        <w:t xml:space="preserve">(具体结算按实际完成面积乘以中标单价计算)。</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rPr>
          <w:rFonts w:hint="eastAsia" w:ascii="宋体" w:hAnsi="宋体" w:eastAsia="宋体" w:cs="宋体"/>
          <w:color w:val="000000"/>
          <w:spacing w:val="2"/>
          <w:sz w:val="24"/>
          <w:szCs w:val="24"/>
          <w:highlight w:val="none"/>
          <w:lang w:val="en-US" w:eastAsia="zh-CN"/>
        </w:rPr>
      </w:r>
      <w:r/>
    </w:p>
    <w:p>
      <w:pPr>
        <w:pStyle w:val="822"/>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rPr>
          <w:rFonts w:hint="eastAsia" w:ascii="宋体" w:hAnsi="宋体" w:eastAsia="宋体" w:cs="宋体"/>
          <w:color w:val="000000"/>
          <w:spacing w:val="2"/>
          <w:sz w:val="24"/>
          <w:szCs w:val="24"/>
          <w:highlight w:val="none"/>
          <w:lang w:val="en-US" w:eastAsia="zh-CN"/>
        </w:rPr>
      </w:r>
      <w:r/>
    </w:p>
    <w:p>
      <w:pPr>
        <w:pStyle w:val="822"/>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资金支付的时间：收到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个工作日内；</w:t>
      </w:r>
      <w:r>
        <w:rPr>
          <w:rFonts w:hint="eastAsia" w:ascii="宋体" w:hAnsi="宋体" w:eastAsia="宋体" w:cs="宋体"/>
          <w:color w:val="000000"/>
          <w:spacing w:val="2"/>
          <w:sz w:val="24"/>
          <w:szCs w:val="24"/>
          <w:highlight w:val="none"/>
        </w:rPr>
      </w:r>
      <w:r/>
    </w:p>
    <w:p>
      <w:pPr>
        <w:pStyle w:val="822"/>
        <w:ind w:firstLine="488"/>
        <w:spacing w:line="360" w:lineRule="auto"/>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资金支付的条件：满足相应阶段的要求且收到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822"/>
        <w:ind w:firstLine="480"/>
        <w:spacing w:line="360" w:lineRule="auto"/>
        <w:rPr>
          <w:rFonts w:hint="eastAsia" w:ascii="宋体" w:hAnsi="宋体" w:cs="Courier New"/>
          <w:b w:val="0"/>
          <w:bCs/>
          <w:color w:val="000000"/>
          <w:sz w:val="24"/>
          <w:szCs w:val="24"/>
          <w:highlight w:val="none"/>
        </w:rPr>
      </w:pPr>
      <w:r>
        <w:rPr>
          <w:rFonts w:hint="eastAsia" w:ascii="宋体" w:hAnsi="宋体" w:eastAsia="宋体" w:cs="宋体"/>
          <w:b w:val="0"/>
          <w:color w:val="000000"/>
          <w:sz w:val="24"/>
          <w:szCs w:val="24"/>
          <w:lang w:val="en-US" w:eastAsia="zh-CN" w:bidi="ar-SA"/>
        </w:rPr>
        <w:t xml:space="preserve">3.在签订合同时，中标人明确表示无需预付款或者主动要求降低预付款比例的金额，采购人可不适用预付款规定。</w:t>
      </w:r>
      <w:r>
        <w:rPr>
          <w:rFonts w:hint="eastAsia" w:ascii="宋体" w:hAnsi="宋体" w:cs="Courier New"/>
          <w:b w:val="0"/>
          <w:bCs/>
          <w:color w:val="000000"/>
          <w:sz w:val="24"/>
          <w:szCs w:val="24"/>
          <w:highlight w:val="none"/>
        </w:rPr>
      </w:r>
      <w:r/>
    </w:p>
    <w:p>
      <w:pPr>
        <w:pStyle w:val="822"/>
        <w:ind w:firstLine="482"/>
        <w:spacing w:line="400" w:lineRule="exact"/>
        <w:rPr>
          <w:rFonts w:hint="eastAsia" w:ascii="宋体" w:hAnsi="宋体" w:cs="Courier New"/>
          <w:bCs/>
          <w:color w:val="000000"/>
          <w:sz w:val="24"/>
          <w:szCs w:val="24"/>
          <w:highlight w:val="none"/>
        </w:rPr>
      </w:pPr>
      <w:r>
        <w:rPr>
          <w:rFonts w:hint="eastAsia" w:ascii="宋体" w:hAnsi="宋体" w:cs="Courier New"/>
          <w:b/>
          <w:color w:val="000000"/>
          <w:sz w:val="24"/>
          <w:szCs w:val="24"/>
          <w:highlight w:val="none"/>
        </w:rPr>
        <w:t xml:space="preserve">三、合同履行</w:t>
      </w:r>
      <w:r>
        <w:rPr>
          <w:rFonts w:hint="eastAsia" w:ascii="宋体" w:hAnsi="宋体" w:cs="Courier New"/>
          <w:bCs/>
          <w:color w:val="000000"/>
          <w:sz w:val="24"/>
          <w:szCs w:val="24"/>
          <w:highlight w:val="none"/>
        </w:rPr>
      </w:r>
      <w:r/>
    </w:p>
    <w:p>
      <w:pPr>
        <w:pStyle w:val="822"/>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1.起始日期：自合同签订之日起</w:t>
      </w:r>
      <w:r>
        <w:rPr>
          <w:rFonts w:hint="eastAsia" w:ascii="宋体" w:hAnsi="宋体" w:cs="Courier New"/>
          <w:color w:val="000000"/>
          <w:sz w:val="24"/>
          <w:szCs w:val="24"/>
          <w:highlight w:val="none"/>
          <w:u w:val="single"/>
        </w:rPr>
        <w:t xml:space="preserve">2年</w:t>
      </w:r>
      <w:r>
        <w:rPr>
          <w:rFonts w:hint="eastAsia" w:ascii="宋体" w:hAnsi="宋体" w:cs="Courier New"/>
          <w:color w:val="000000"/>
          <w:sz w:val="24"/>
          <w:szCs w:val="24"/>
          <w:highlight w:val="none"/>
        </w:rPr>
        <w:t xml:space="preserve">，并满足</w:t>
      </w:r>
      <w:r>
        <w:rPr>
          <w:rFonts w:hint="eastAsia" w:ascii="宋体" w:hAnsi="宋体" w:cs="Courier New"/>
          <w:color w:val="000000"/>
          <w:sz w:val="24"/>
          <w:szCs w:val="24"/>
          <w:highlight w:val="none"/>
          <w:lang w:eastAsia="zh-CN"/>
        </w:rPr>
        <w:t xml:space="preserve">甲方</w:t>
      </w:r>
      <w:r>
        <w:rPr>
          <w:rFonts w:hint="eastAsia" w:ascii="宋体" w:hAnsi="宋体" w:cs="Courier New"/>
          <w:color w:val="000000"/>
          <w:sz w:val="24"/>
          <w:szCs w:val="24"/>
          <w:highlight w:val="none"/>
        </w:rPr>
        <w:t xml:space="preserve">进度要求。</w:t>
      </w:r>
      <w:r>
        <w:rPr>
          <w:rFonts w:hint="eastAsia" w:ascii="宋体" w:hAnsi="宋体" w:cs="Courier New"/>
          <w:color w:val="000000"/>
          <w:sz w:val="24"/>
          <w:szCs w:val="24"/>
          <w:highlight w:val="none"/>
        </w:rPr>
      </w:r>
      <w:r/>
    </w:p>
    <w:p>
      <w:pPr>
        <w:pStyle w:val="822"/>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2.履约地点：                             </w:t>
      </w:r>
      <w:r>
        <w:rPr>
          <w:rFonts w:hint="eastAsia" w:ascii="宋体" w:hAnsi="宋体" w:cs="Courier New"/>
          <w:color w:val="000000"/>
          <w:sz w:val="24"/>
          <w:szCs w:val="24"/>
          <w:highlight w:val="none"/>
        </w:rPr>
      </w:r>
      <w:r/>
    </w:p>
    <w:p>
      <w:pPr>
        <w:pStyle w:val="822"/>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3.履约担保</w:t>
      </w:r>
      <w:r>
        <w:rPr>
          <w:rFonts w:hint="eastAsia" w:ascii="宋体" w:hAnsi="宋体" w:cs="Courier New"/>
          <w:color w:val="000000"/>
          <w:sz w:val="24"/>
          <w:szCs w:val="24"/>
          <w:highlight w:val="none"/>
        </w:rPr>
      </w:r>
      <w:r/>
    </w:p>
    <w:p>
      <w:pPr>
        <w:pStyle w:val="822"/>
        <w:ind w:firstLine="480"/>
        <w:spacing w:line="400" w:lineRule="exact"/>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宋体"/>
          <w:color w:val="000000"/>
          <w:sz w:val="24"/>
          <w:szCs w:val="24"/>
          <w:highlight w:val="none"/>
        </w:rPr>
        <w:t xml:space="preserve">是否收取履约保证金：</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否</w:t>
      </w:r>
      <w:bookmarkStart w:id="135" w:name="OLE_LINK7"/>
      <w:r>
        <w:rPr>
          <w:rFonts w:hint="eastAsia" w:ascii="宋体" w:hAnsi="宋体" w:cs="宋体"/>
          <w:color w:val="000000"/>
          <w:sz w:val="24"/>
          <w:szCs w:val="24"/>
          <w:highlight w:val="none"/>
        </w:rPr>
        <w:t xml:space="preserve">(备注：选择否，删除以下相关条款，磋商文件定稿后该备注删除。）</w:t>
      </w:r>
      <w:bookmarkEnd w:id="135"/>
      <w:r>
        <w:rPr>
          <w:rFonts w:hint="eastAsia" w:ascii="宋体" w:hAnsi="宋体" w:cs="宋体"/>
          <w:color w:val="000000"/>
          <w:sz w:val="24"/>
          <w:szCs w:val="24"/>
          <w:highlight w:val="none"/>
        </w:rPr>
      </w:r>
      <w:r/>
    </w:p>
    <w:p>
      <w:pPr>
        <w:pStyle w:val="822"/>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（2）履约保证金提交要求</w:t>
      </w:r>
      <w:r>
        <w:rPr>
          <w:rFonts w:hint="eastAsia" w:ascii="宋体" w:hAnsi="宋体" w:cs="Courier New"/>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履约保证金提交形式</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履约保证金应在采购合同签订前提交，除银行电汇、网上银行、数字人民币外，</w:t>
      </w:r>
      <w:r>
        <w:rPr>
          <w:rFonts w:hint="eastAsia" w:ascii="Times New Roman" w:hAnsi="Times New Roman"/>
          <w:color w:val="000000"/>
          <w:sz w:val="24"/>
          <w:szCs w:val="24"/>
          <w:highlight w:val="none"/>
          <w:lang w:eastAsia="zh-CN"/>
        </w:rPr>
        <w:t xml:space="preserve">乙方</w:t>
      </w:r>
      <w:r>
        <w:rPr>
          <w:rFonts w:hint="eastAsia" w:ascii="Times New Roman" w:hAnsi="Times New Roman"/>
          <w:color w:val="000000"/>
          <w:sz w:val="24"/>
          <w:szCs w:val="24"/>
          <w:highlight w:val="none"/>
        </w:rPr>
        <w:t xml:space="preserve">还可选用银行保函、担保公司的保证担保或保险公司的保证保险等多种形式向</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缴纳。</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履约保证金提交金额</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按采购合同总价的 2 %提交。</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rPr>
        <w:t xml:space="preserve">履约保证金退还方式</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hint="eastAsia" w:ascii="Times New Roman" w:hAnsi="Times New Roman"/>
          <w:color w:val="000000"/>
          <w:sz w:val="24"/>
          <w:szCs w:val="24"/>
          <w:highlight w:val="none"/>
        </w:rPr>
        <w:t xml:space="preserve">履约保证金退还条件</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具有验收合格相关证明材料。</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hint="eastAsia" w:ascii="Times New Roman" w:hAnsi="Times New Roman"/>
          <w:color w:val="000000"/>
          <w:sz w:val="24"/>
          <w:szCs w:val="24"/>
          <w:highlight w:val="none"/>
        </w:rPr>
        <w:t xml:space="preserve">履约保证金退还时间</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收到投标人退付申请后5个工作日内退还。</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履约保证金不予退还情形</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除不可抗力外，中标人不履行与</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订立的采购合同的，履约保证金不予退还，给</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造成的损失超过履约保证金数额的，还应对超过部分予以赔偿。</w:t>
      </w:r>
      <w:r>
        <w:rPr>
          <w:rFonts w:hint="eastAsia" w:ascii="Times New Roman" w:hAnsi="Times New Roman"/>
          <w:color w:val="000000"/>
          <w:sz w:val="24"/>
          <w:szCs w:val="24"/>
          <w:highlight w:val="none"/>
        </w:rPr>
      </w:r>
      <w:r/>
    </w:p>
    <w:p>
      <w:pPr>
        <w:pStyle w:val="822"/>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color w:val="000000"/>
          <w:sz w:val="24"/>
          <w:szCs w:val="24"/>
          <w:highlight w:val="none"/>
        </w:rPr>
        <w:t xml:space="preserve">逾期退还履约保证金违约责任</w:t>
      </w:r>
      <w:r>
        <w:rPr>
          <w:rFonts w:hint="eastAsia"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逾期退还履约保证金的，除应退还履约保证金外，还应按中国人民银行同期贷款基准利率上浮20％后的利率支付超期资金占用费，但因投标人自身原因导致无法及时退还的除外。</w:t>
      </w:r>
      <w:r>
        <w:rPr>
          <w:rFonts w:ascii="Times New Roman" w:hAnsi="Times New Roman"/>
          <w:color w:val="000000"/>
          <w:sz w:val="24"/>
          <w:szCs w:val="24"/>
          <w:highlight w:val="none"/>
        </w:rPr>
      </w:r>
      <w:r/>
    </w:p>
    <w:p>
      <w:pPr>
        <w:pStyle w:val="822"/>
        <w:ind w:firstLine="482"/>
        <w:spacing w:line="400" w:lineRule="exact"/>
        <w:rPr>
          <w:rStyle w:val="832"/>
          <w:rFonts w:hint="eastAsia" w:ascii="宋体" w:hAnsi="宋体" w:eastAsia="宋体" w:cs="宋体"/>
          <w:b/>
          <w:color w:val="000000"/>
          <w:sz w:val="24"/>
          <w:szCs w:val="24"/>
          <w:highlight w:val="none"/>
          <w:lang w:val="en-US" w:eastAsia="zh-CN"/>
        </w:rPr>
      </w:pPr>
      <w:r>
        <w:rPr>
          <w:rFonts w:hint="eastAsia" w:ascii="宋体" w:hAnsi="宋体" w:eastAsia="宋体" w:cs="Courier New"/>
          <w:b/>
          <w:color w:val="000000"/>
          <w:sz w:val="24"/>
          <w:szCs w:val="24"/>
          <w:highlight w:val="none"/>
          <w:lang w:val="en-US" w:eastAsia="zh-CN"/>
        </w:rPr>
        <w:t xml:space="preserve">四、服务内容</w:t>
      </w:r>
      <w:r>
        <w:rPr>
          <w:rStyle w:val="832"/>
          <w:rFonts w:hint="eastAsia" w:ascii="宋体" w:hAnsi="宋体" w:eastAsia="宋体" w:cs="宋体"/>
          <w:b/>
          <w:color w:val="000000"/>
          <w:sz w:val="24"/>
          <w:szCs w:val="24"/>
          <w:highlight w:val="none"/>
          <w:lang w:val="en-US" w:eastAsia="zh-CN"/>
        </w:rPr>
      </w:r>
      <w:r/>
    </w:p>
    <w:p>
      <w:pPr>
        <w:pStyle w:val="1102"/>
        <w:ind w:right="105" w:firstLine="480"/>
        <w:jc w:val="left"/>
        <w:keepLines w:val="0"/>
        <w:keepNext w:val="0"/>
        <w:pageBreakBefore w:val="0"/>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按照</w:t>
      </w:r>
      <w:r>
        <w:rPr>
          <w:rStyle w:val="832"/>
          <w:rFonts w:hint="eastAsia" w:ascii="宋体" w:hAnsi="宋体" w:cs="宋体"/>
          <w:color w:val="000000"/>
          <w:sz w:val="24"/>
          <w:szCs w:val="24"/>
          <w:highlight w:val="none"/>
          <w:lang w:val="en-US" w:eastAsia="zh-CN"/>
        </w:rPr>
        <w:t xml:space="preserve">甲方</w:t>
      </w:r>
      <w:r>
        <w:rPr>
          <w:rStyle w:val="832"/>
          <w:rFonts w:hint="eastAsia" w:ascii="宋体" w:hAnsi="宋体" w:eastAsia="宋体" w:cs="宋体"/>
          <w:color w:val="000000"/>
          <w:sz w:val="24"/>
          <w:szCs w:val="24"/>
          <w:highlight w:val="none"/>
          <w:lang w:val="en-US" w:eastAsia="zh-CN"/>
        </w:rPr>
        <w:t xml:space="preserve">的委托要求开展</w:t>
      </w:r>
      <w:r>
        <w:rPr>
          <w:rFonts w:hint="eastAsia" w:ascii="宋体" w:hAnsi="宋体"/>
          <w:sz w:val="24"/>
          <w:szCs w:val="24"/>
        </w:rPr>
        <w:t xml:space="preserve">土壤污染状况调查服务</w:t>
      </w:r>
      <w:r>
        <w:rPr>
          <w:rFonts w:hint="eastAsia" w:ascii="宋体" w:hAnsi="宋体"/>
          <w:sz w:val="24"/>
          <w:szCs w:val="24"/>
          <w:lang w:val="en-US" w:eastAsia="zh-CN"/>
        </w:rPr>
        <w:t xml:space="preserve">工作</w:t>
      </w:r>
      <w:r>
        <w:rPr>
          <w:rStyle w:val="832"/>
          <w:rFonts w:hint="eastAsia" w:ascii="宋体" w:hAnsi="宋体" w:eastAsia="宋体" w:cs="宋体"/>
          <w:color w:val="000000"/>
          <w:sz w:val="24"/>
          <w:szCs w:val="24"/>
          <w:highlight w:val="none"/>
          <w:lang w:val="en-US" w:eastAsia="zh-CN"/>
        </w:rPr>
        <w:t xml:space="preserve">。工作中严格执行相关规定，保证按时高质量完成采购人委托任务。具体事项包括但不限于：</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1、现场详细踏勘及详细资料收集：场地的现状，场地历史，相邻场地的现状和历史情况，场地水文地质、建筑物、构筑物、设施或设备的情况，收集的资料主要包括场地环境资料、有关政府文件以及场地所在区域概况，场地水文地质情况。</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2、调查工作计划和前期准备：编制调查方案，落实采样材料与设备。</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3、现场调查采样：调查和采样前的准备、定位和探测、现场检测、土壤样品的采集、地下水样品的采集等。</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4、样品检测分析</w:t>
      </w:r>
      <w:r>
        <w:rPr>
          <w:rStyle w:val="832"/>
          <w:rFonts w:hint="eastAsia" w:ascii="宋体" w:hAnsi="宋体" w:cs="宋体"/>
          <w:color w:val="000000"/>
          <w:sz w:val="24"/>
          <w:szCs w:val="24"/>
          <w:highlight w:val="none"/>
          <w:lang w:val="en-US" w:eastAsia="zh-CN"/>
        </w:rPr>
        <w:t xml:space="preserve">：供应商自有或者</w:t>
      </w:r>
      <w:r>
        <w:rPr>
          <w:rFonts w:hint="eastAsia" w:ascii="宋体" w:hAnsi="宋体" w:cs="Arial"/>
          <w:sz w:val="24"/>
        </w:rPr>
        <w:t xml:space="preserve">委托的分析检测</w:t>
      </w:r>
      <w:r>
        <w:rPr>
          <w:rFonts w:hint="eastAsia" w:ascii="宋体" w:hAnsi="宋体" w:cs="Arial"/>
          <w:sz w:val="24"/>
          <w:lang w:val="en-US" w:eastAsia="zh-CN"/>
        </w:rPr>
        <w:t xml:space="preserve">实验室须具备</w:t>
      </w:r>
      <w:r>
        <w:rPr>
          <w:rFonts w:hint="eastAsia" w:ascii="宋体" w:hAnsi="宋体" w:cs="Arial"/>
          <w:sz w:val="24"/>
        </w:rPr>
        <w:t xml:space="preserve">CMA证书，检测方法应采用现行国标</w:t>
      </w:r>
      <w:r>
        <w:rPr>
          <w:rStyle w:val="832"/>
          <w:rFonts w:hint="eastAsia" w:ascii="宋体" w:hAnsi="宋体" w:eastAsia="宋体" w:cs="宋体"/>
          <w:color w:val="000000"/>
          <w:sz w:val="24"/>
          <w:szCs w:val="24"/>
          <w:highlight w:val="none"/>
          <w:lang w:val="en-US" w:eastAsia="zh-CN"/>
        </w:rPr>
        <w:t xml:space="preserve">。</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5、调查结果分析：根据检测结果，根据规范要求分别对场地土壤和地下水污染状况进行分析评估。</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6、编制土壤污染状况调查报告：按要求提交相关工作成果，符合生态环境部、江苏省生态环境厅关于地块土壤污染状况调查报告的相关技术要求。</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7、地块调查报告需进行专家评审，取得专家评审意见并完成生态环境部门备案。</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8、其余事项按</w:t>
      </w:r>
      <w:r>
        <w:rPr>
          <w:rStyle w:val="832"/>
          <w:rFonts w:hint="eastAsia" w:ascii="宋体" w:hAnsi="宋体" w:cs="宋体"/>
          <w:color w:val="000000"/>
          <w:sz w:val="24"/>
          <w:szCs w:val="24"/>
          <w:highlight w:val="none"/>
          <w:lang w:val="en-US" w:eastAsia="zh-CN"/>
        </w:rPr>
        <w:t xml:space="preserve">甲方</w:t>
      </w:r>
      <w:r>
        <w:rPr>
          <w:rStyle w:val="832"/>
          <w:rFonts w:hint="eastAsia" w:ascii="宋体" w:hAnsi="宋体" w:eastAsia="宋体" w:cs="宋体"/>
          <w:color w:val="000000"/>
          <w:sz w:val="24"/>
          <w:szCs w:val="24"/>
          <w:highlight w:val="none"/>
          <w:lang w:val="en-US" w:eastAsia="zh-CN"/>
        </w:rPr>
        <w:t xml:space="preserve">的要求实施。</w:t>
      </w:r>
      <w:r>
        <w:rPr>
          <w:rStyle w:val="832"/>
          <w:rFonts w:hint="eastAsia" w:ascii="宋体" w:hAnsi="宋体" w:eastAsia="宋体" w:cs="宋体"/>
          <w:color w:val="000000"/>
          <w:sz w:val="24"/>
          <w:szCs w:val="24"/>
          <w:highlight w:val="none"/>
          <w:lang w:val="en-US" w:eastAsia="zh-CN"/>
        </w:rPr>
      </w:r>
      <w:r/>
    </w:p>
    <w:p>
      <w:pPr>
        <w:pStyle w:val="822"/>
        <w:ind w:firstLine="482"/>
        <w:spacing w:line="400" w:lineRule="exact"/>
        <w:rPr>
          <w:rFonts w:ascii="Calibri" w:hAnsi="Calibri" w:eastAsia="宋体" w:cs="Times New Roman"/>
          <w:color w:val="000000"/>
          <w:sz w:val="30"/>
          <w:szCs w:val="30"/>
          <w:highlight w:val="none"/>
          <w:lang w:val="en-US" w:eastAsia="zh-CN"/>
        </w:rPr>
      </w:pPr>
      <w:r>
        <w:rPr>
          <w:rFonts w:hint="eastAsia" w:ascii="宋体" w:hAnsi="宋体" w:eastAsia="宋体" w:cs="Courier New"/>
          <w:b/>
          <w:color w:val="000000"/>
          <w:sz w:val="24"/>
          <w:szCs w:val="24"/>
          <w:highlight w:val="none"/>
          <w:lang w:val="en-US" w:eastAsia="zh-CN"/>
        </w:rPr>
        <w:t xml:space="preserve">五、工作依据</w:t>
      </w:r>
      <w:r>
        <w:rPr>
          <w:rFonts w:ascii="Calibri" w:hAnsi="Calibri" w:eastAsia="宋体" w:cs="Times New Roman"/>
          <w:color w:val="000000"/>
          <w:sz w:val="30"/>
          <w:szCs w:val="30"/>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1、《中华人民共和国生态环境法典》（2026年3月12日通过，2026年8月15日起施行。同时《中华人民共和国环境保护法》、《中华人民共和国土壤污染防治法》2026年8月15日起废止）；</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2、《土壤污染防治行动计划》（国发〔2016〕31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3、《污染地块土壤环境管理办法（试行）》（环保部令第 42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4、《土壤污染源头防控行动计划》（环土壤〔2024〕80号）；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5、 《关于做好污染地块环境修复与开发建设衔接的指导意见》（环土壤〔2026〕3号）；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6、《江苏省土壤污染防治工作方案》（苏政发〔2016〕169 号）；</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7、 《土壤环境质量建设用地土壤污染风险管控标准（试行）》（GB36600-2018）；</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hint="eastAsia" w:ascii="宋体" w:hAnsi="宋体" w:eastAsia="宋体" w:cs="宋体"/>
          <w:color w:val="000000"/>
          <w:sz w:val="24"/>
          <w:szCs w:val="24"/>
          <w:highlight w:val="none"/>
          <w:lang w:val="en-US" w:eastAsia="zh-CN"/>
        </w:rPr>
      </w:pPr>
      <w:r>
        <w:rPr>
          <w:rStyle w:val="832"/>
          <w:rFonts w:hint="eastAsia" w:ascii="宋体" w:hAnsi="宋体" w:eastAsia="宋体" w:cs="宋体"/>
          <w:color w:val="000000"/>
          <w:sz w:val="24"/>
          <w:szCs w:val="24"/>
          <w:highlight w:val="none"/>
          <w:lang w:val="en-US" w:eastAsia="zh-CN"/>
        </w:rPr>
        <w:t xml:space="preserve">8、《地下水环境质量标准》（GB/T14848-2017）。</w:t>
      </w:r>
      <w:r>
        <w:rPr>
          <w:rStyle w:val="832"/>
          <w:rFonts w:hint="eastAsia" w:ascii="宋体" w:hAnsi="宋体" w:eastAsia="宋体" w:cs="宋体"/>
          <w:color w:val="000000"/>
          <w:sz w:val="24"/>
          <w:szCs w:val="24"/>
          <w:highlight w:val="none"/>
          <w:lang w:val="en-US" w:eastAsia="zh-CN"/>
        </w:rPr>
      </w:r>
      <w:r/>
    </w:p>
    <w:p>
      <w:pPr>
        <w:pStyle w:val="822"/>
        <w:ind w:firstLine="482"/>
        <w:spacing w:line="400" w:lineRule="exact"/>
        <w:rPr>
          <w:rStyle w:val="832"/>
          <w:rFonts w:hint="eastAsia" w:ascii="宋体" w:hAnsi="宋体" w:eastAsia="宋体" w:cs="宋体"/>
          <w:color w:val="000000"/>
          <w:sz w:val="24"/>
          <w:szCs w:val="24"/>
          <w:highlight w:val="none"/>
          <w:lang w:val="en-US" w:eastAsia="zh-CN"/>
        </w:rPr>
      </w:pPr>
      <w:r>
        <w:rPr>
          <w:rFonts w:hint="eastAsia" w:ascii="宋体" w:hAnsi="宋体" w:eastAsia="宋体" w:cs="Courier New"/>
          <w:b/>
          <w:color w:val="000000"/>
          <w:sz w:val="24"/>
          <w:szCs w:val="24"/>
          <w:highlight w:val="none"/>
          <w:lang w:val="en-US" w:eastAsia="zh-CN"/>
        </w:rPr>
        <w:t xml:space="preserve">六、成果提交</w:t>
      </w:r>
      <w:r>
        <w:rPr>
          <w:rStyle w:val="832"/>
          <w:rFonts w:hint="eastAsia" w:ascii="宋体" w:hAnsi="宋体" w:eastAsia="宋体" w:cs="宋体"/>
          <w:color w:val="000000"/>
          <w:sz w:val="24"/>
          <w:szCs w:val="24"/>
          <w:highlight w:val="none"/>
          <w:lang w:val="en-US" w:eastAsia="zh-CN"/>
        </w:rPr>
      </w:r>
      <w:r/>
    </w:p>
    <w:p>
      <w:pPr>
        <w:pStyle w:val="1102"/>
        <w:ind w:right="105" w:firstLine="480"/>
        <w:jc w:val="left"/>
        <w:spacing w:line="360" w:lineRule="auto"/>
        <w:rPr>
          <w:rStyle w:val="832"/>
          <w:rFonts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调查成果必须</w:t>
      </w:r>
      <w:r>
        <w:rPr>
          <w:rFonts w:hint="eastAsia" w:ascii="宋体" w:hAnsi="宋体" w:eastAsia="宋体" w:cs="宋体"/>
          <w:color w:val="000000"/>
          <w:sz w:val="24"/>
          <w:lang w:eastAsia="zh-CN"/>
        </w:rPr>
        <w:t xml:space="preserve">通过</w:t>
      </w:r>
      <w:r>
        <w:rPr>
          <w:rFonts w:hint="eastAsia" w:ascii="宋体" w:hAnsi="宋体" w:eastAsia="宋体" w:cs="宋体"/>
          <w:color w:val="000000"/>
          <w:sz w:val="24"/>
        </w:rPr>
        <w:t xml:space="preserve">生态环境部门等组织的专家评审，并将相关成果提交</w:t>
      </w:r>
      <w:r>
        <w:rPr>
          <w:rFonts w:hint="eastAsia" w:ascii="宋体" w:hAnsi="宋体" w:cs="宋体"/>
          <w:color w:val="000000"/>
          <w:sz w:val="24"/>
          <w:lang w:eastAsia="zh-CN"/>
        </w:rPr>
        <w:t xml:space="preserve">甲方</w:t>
      </w:r>
      <w:r>
        <w:rPr>
          <w:rFonts w:hint="eastAsia" w:ascii="宋体" w:hAnsi="宋体" w:eastAsia="宋体" w:cs="宋体"/>
          <w:color w:val="000000"/>
          <w:sz w:val="24"/>
          <w:lang w:eastAsia="zh-CN"/>
        </w:rPr>
        <w:t xml:space="preserve">，具体纸质文本及电子文本以</w:t>
      </w:r>
      <w:r>
        <w:rPr>
          <w:rFonts w:hint="eastAsia" w:ascii="宋体" w:hAnsi="宋体" w:cs="宋体"/>
          <w:color w:val="000000"/>
          <w:sz w:val="24"/>
          <w:lang w:eastAsia="zh-CN"/>
        </w:rPr>
        <w:t xml:space="preserve">甲方</w:t>
      </w:r>
      <w:r>
        <w:rPr>
          <w:rFonts w:hint="eastAsia" w:ascii="宋体" w:hAnsi="宋体" w:eastAsia="宋体" w:cs="宋体"/>
          <w:color w:val="000000"/>
          <w:sz w:val="24"/>
          <w:lang w:eastAsia="zh-CN"/>
        </w:rPr>
        <w:t xml:space="preserve">要求份数为准</w:t>
      </w:r>
      <w:r>
        <w:rPr>
          <w:rFonts w:hint="eastAsia" w:ascii="宋体" w:hAnsi="宋体" w:eastAsia="宋体" w:cs="宋体"/>
          <w:color w:val="000000"/>
          <w:sz w:val="24"/>
        </w:rPr>
        <w:t xml:space="preserve">。 </w:t>
      </w:r>
      <w:r>
        <w:rPr>
          <w:rStyle w:val="832"/>
          <w:rFonts w:ascii="宋体" w:hAnsi="宋体" w:eastAsia="宋体" w:cs="宋体"/>
          <w:color w:val="000000"/>
          <w:sz w:val="24"/>
          <w:szCs w:val="24"/>
          <w:highlight w:val="none"/>
          <w:lang w:val="en-US" w:eastAsia="zh-CN"/>
        </w:rPr>
      </w:r>
      <w:r/>
    </w:p>
    <w:p>
      <w:pPr>
        <w:pStyle w:val="822"/>
        <w:ind w:firstLine="482"/>
        <w:spacing w:line="400" w:lineRule="exact"/>
        <w:rPr>
          <w:rFonts w:hint="eastAsia" w:ascii="宋体" w:hAnsi="宋体" w:cs="Courier New"/>
          <w:b/>
          <w:color w:val="000000"/>
          <w:sz w:val="24"/>
          <w:szCs w:val="24"/>
          <w:highlight w:val="none"/>
        </w:rPr>
      </w:pPr>
      <w:r>
        <w:rPr>
          <w:rStyle w:val="832"/>
          <w:rFonts w:hint="eastAsia" w:ascii="宋体" w:hAnsi="宋体" w:eastAsia="宋体" w:cs="宋体"/>
          <w:color w:val="000000"/>
          <w:sz w:val="24"/>
          <w:szCs w:val="24"/>
          <w:highlight w:val="none"/>
          <w:lang w:val="en-US" w:eastAsia="zh-CN"/>
        </w:rPr>
        <w:t xml:space="preserve">注：工作成果包括但不限于以上成果，如有新的政策要求按新的成果要求执行。</w:t>
      </w:r>
      <w:r>
        <w:rPr>
          <w:rFonts w:hint="eastAsia" w:ascii="宋体" w:hAnsi="宋体" w:cs="Courier New"/>
          <w:b/>
          <w:color w:val="000000"/>
          <w:sz w:val="24"/>
          <w:szCs w:val="24"/>
          <w:highlight w:val="none"/>
        </w:rPr>
      </w:r>
      <w:r/>
    </w:p>
    <w:p>
      <w:pPr>
        <w:pStyle w:val="822"/>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七</w:t>
      </w:r>
      <w:r>
        <w:rPr>
          <w:rFonts w:hint="eastAsia" w:ascii="宋体" w:hAnsi="宋体" w:cs="Courier New"/>
          <w:b/>
          <w:color w:val="000000"/>
          <w:sz w:val="24"/>
          <w:szCs w:val="24"/>
          <w:highlight w:val="none"/>
        </w:rPr>
        <w:t xml:space="preserve">、履约验收</w:t>
      </w:r>
      <w:r>
        <w:rPr>
          <w:rFonts w:hint="eastAsia" w:ascii="宋体" w:hAnsi="宋体" w:cs="Courier New"/>
          <w:b/>
          <w:color w:val="000000"/>
          <w:sz w:val="24"/>
          <w:szCs w:val="24"/>
          <w:highlight w:val="none"/>
        </w:rPr>
      </w:r>
      <w:r/>
    </w:p>
    <w:p>
      <w:pPr>
        <w:pStyle w:val="8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验收方法和标准</w:t>
      </w:r>
      <w:r>
        <w:rPr>
          <w:rFonts w:hint="eastAsia" w:ascii="宋体" w:hAnsi="宋体" w:eastAsia="宋体" w:cs="宋体"/>
          <w:color w:val="000000"/>
          <w:sz w:val="24"/>
          <w:szCs w:val="24"/>
        </w:rPr>
      </w:r>
      <w:r/>
    </w:p>
    <w:p>
      <w:pPr>
        <w:pStyle w:val="8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验收标准：所提供的服务及质量有国家标准的应符合国家标准。无国家标准的应符合行业标准或企业标准，并满足采购文件要求。</w:t>
      </w:r>
      <w:r>
        <w:rPr>
          <w:rFonts w:hint="eastAsia" w:ascii="宋体" w:hAnsi="宋体" w:eastAsia="宋体" w:cs="宋体"/>
          <w:b/>
          <w:bCs/>
          <w:sz w:val="24"/>
          <w:szCs w:val="24"/>
        </w:rPr>
        <w:t xml:space="preserve">调查成果通过生态环境主管部门组织的专家评审并经生态环境主管部门备案。</w:t>
      </w:r>
      <w:r>
        <w:rPr>
          <w:rFonts w:hint="eastAsia" w:ascii="宋体" w:hAnsi="宋体" w:eastAsia="宋体" w:cs="宋体"/>
          <w:sz w:val="24"/>
          <w:szCs w:val="24"/>
        </w:rPr>
      </w:r>
      <w:r/>
    </w:p>
    <w:p>
      <w:pPr>
        <w:pStyle w:val="8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验收要求：服务期结束后3个工作日内依法组织履约验收。甲方根据项目特点进行验收。履约验收程序按甲方要求。甲方以磋商文件、乙方的响应文件、合同为依据，乙方提交最终成果并通过相关部门审查后完成最终验收。最终验收时间以相关部门审查备案通过时间为准，各项资料存档备查。若因成交人原因造成无法验收通过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将拒绝付款，并追究成交人的违约责任。</w:t>
      </w:r>
      <w:r>
        <w:rPr>
          <w:rFonts w:hint="eastAsia" w:ascii="宋体" w:hAnsi="宋体" w:eastAsia="宋体" w:cs="宋体"/>
          <w:sz w:val="24"/>
          <w:szCs w:val="24"/>
        </w:rPr>
      </w:r>
      <w:r/>
    </w:p>
    <w:p>
      <w:pPr>
        <w:pStyle w:val="8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验收合格的项目，甲方根据采购合同的约定及时向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支付合同款项。验收不合格的项目，甲方依法及时处理。采购合同的履行、违约责任和解决争议的方式等适用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rPr>
          <w:rFonts w:hint="eastAsia" w:ascii="宋体" w:hAnsi="宋体" w:eastAsia="宋体" w:cs="宋体"/>
          <w:sz w:val="24"/>
          <w:szCs w:val="24"/>
        </w:rPr>
      </w:r>
      <w:r/>
    </w:p>
    <w:p>
      <w:pPr>
        <w:pStyle w:val="8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因部、省、市、县出台的新的技术标准和要求或规范规程时，变更委托项目工作内容、压缩工期、修改项目实质性工作内容（如要求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提供超出质量标准以外的质量要求等）或因其他原因，导致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工作返工或增加工作量的，双方应另行协商签订补充协议增加工作经费。</w:t>
      </w:r>
      <w:r>
        <w:rPr>
          <w:rFonts w:hint="eastAsia" w:ascii="宋体" w:hAnsi="宋体" w:eastAsia="宋体" w:cs="宋体"/>
          <w:sz w:val="24"/>
          <w:szCs w:val="24"/>
        </w:rPr>
      </w:r>
      <w:r/>
    </w:p>
    <w:p>
      <w:pPr>
        <w:pStyle w:val="822"/>
        <w:ind w:firstLine="480"/>
        <w:spacing w:line="360" w:lineRule="auto"/>
        <w:rPr>
          <w:rFonts w:hint="eastAsia" w:ascii="宋体" w:hAnsi="宋体" w:cs="Courier New"/>
          <w:b/>
          <w:color w:val="000000"/>
          <w:sz w:val="24"/>
          <w:szCs w:val="24"/>
          <w:highlight w:val="none"/>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项目完成后，如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需要打印图件或文本资料，成交</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应第一时间响应。</w:t>
      </w:r>
      <w:r>
        <w:rPr>
          <w:rFonts w:hint="eastAsia" w:ascii="宋体" w:hAnsi="宋体" w:cs="Courier New"/>
          <w:b/>
          <w:color w:val="000000"/>
          <w:sz w:val="24"/>
          <w:szCs w:val="24"/>
          <w:highlight w:val="none"/>
          <w:lang w:val="en-US" w:eastAsia="zh-CN"/>
        </w:rPr>
      </w:r>
      <w:r/>
    </w:p>
    <w:p>
      <w:pPr>
        <w:pStyle w:val="822"/>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八</w:t>
      </w:r>
      <w:r>
        <w:rPr>
          <w:rFonts w:hint="eastAsia" w:ascii="宋体" w:hAnsi="宋体" w:cs="Courier New"/>
          <w:b/>
          <w:color w:val="000000"/>
          <w:sz w:val="24"/>
          <w:szCs w:val="24"/>
          <w:highlight w:val="none"/>
        </w:rPr>
        <w:t xml:space="preserve">、组成合同的文件</w:t>
      </w:r>
      <w:r>
        <w:rPr>
          <w:rFonts w:hint="eastAsia" w:ascii="宋体" w:hAnsi="宋体" w:cs="Courier New"/>
          <w:b/>
          <w:color w:val="000000"/>
          <w:sz w:val="24"/>
          <w:szCs w:val="24"/>
          <w:highlight w:val="none"/>
        </w:rPr>
      </w:r>
      <w:r/>
    </w:p>
    <w:p>
      <w:pPr>
        <w:pStyle w:val="982"/>
        <w:ind w:left="482"/>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如下述文件之间有任何抵触、矛盾或歧义，应按以下顺序解释：</w:t>
      </w:r>
      <w:r>
        <w:rPr>
          <w:rFonts w:ascii="Times New Roman" w:hAnsi="Times New Roman"/>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1.政府采购合同协议书及其变更、补充协议；</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lang w:val="en-US" w:eastAsia="zh-CN"/>
        </w:rPr>
        <w:t xml:space="preserve">中标</w:t>
      </w:r>
      <w:r>
        <w:rPr>
          <w:rFonts w:ascii="Times New Roman" w:hAnsi="Times New Roman"/>
          <w:bCs/>
          <w:color w:val="000000"/>
          <w:sz w:val="24"/>
          <w:szCs w:val="24"/>
          <w:highlight w:val="none"/>
        </w:rPr>
        <w:t xml:space="preserve">通知书；</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lang w:val="en-US" w:eastAsia="zh-CN"/>
        </w:rPr>
        <w:t xml:space="preserve">投标</w:t>
      </w:r>
      <w:r>
        <w:rPr>
          <w:rFonts w:ascii="Times New Roman" w:hAnsi="Times New Roman"/>
          <w:bCs/>
          <w:color w:val="000000"/>
          <w:sz w:val="24"/>
          <w:szCs w:val="24"/>
          <w:highlight w:val="none"/>
        </w:rPr>
        <w:t xml:space="preserve">文件；</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lang w:val="en-US" w:eastAsia="zh-CN"/>
        </w:rPr>
        <w:t xml:space="preserve">招标</w:t>
      </w:r>
      <w:r>
        <w:rPr>
          <w:rFonts w:ascii="Times New Roman" w:hAnsi="Times New Roman"/>
          <w:bCs/>
          <w:color w:val="000000"/>
          <w:sz w:val="24"/>
          <w:szCs w:val="24"/>
          <w:highlight w:val="none"/>
        </w:rPr>
        <w:t xml:space="preserve">文件；</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5.有关技术文件，图纸；</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6.国家法律、行政法规和规章制度规定或合同约定的作为合同组成部分的其他文件。</w:t>
      </w:r>
      <w:r>
        <w:rPr>
          <w:rFonts w:ascii="Times New Roman" w:hAnsi="Times New Roman"/>
          <w:bCs/>
          <w:color w:val="000000"/>
          <w:sz w:val="24"/>
          <w:szCs w:val="24"/>
          <w:highlight w:val="none"/>
        </w:rPr>
      </w:r>
      <w:r/>
    </w:p>
    <w:p>
      <w:pPr>
        <w:pStyle w:val="822"/>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九</w:t>
      </w:r>
      <w:r>
        <w:rPr>
          <w:rFonts w:ascii="Times New Roman" w:hAnsi="Times New Roman"/>
          <w:b/>
          <w:color w:val="000000"/>
          <w:sz w:val="24"/>
          <w:szCs w:val="24"/>
          <w:highlight w:val="none"/>
        </w:rPr>
        <w:t xml:space="preserve">、违约责任</w:t>
      </w:r>
      <w:r>
        <w:rPr>
          <w:rFonts w:ascii="Times New Roman" w:hAnsi="Times New Roman"/>
          <w:b/>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1.甲方无正当理由拒绝接受乙方提供的合同标的的，甲方向乙方偿付拒绝接受合同价款总值</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的违约金。</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2.甲方存在迟延支付合同款的，按逾期付款总额</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每日向乙方支付逾期付款利息。</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3.乙方提供的服务不符合合同约定的质量标准或存在质量缺陷，甲方有权要求乙方及时修理、重作、更换，并承担由此给甲方造成的损失。</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color w:val="000000"/>
          <w:sz w:val="24"/>
          <w:szCs w:val="24"/>
          <w:highlight w:val="none"/>
        </w:rPr>
      </w:r>
      <w:r/>
    </w:p>
    <w:p>
      <w:pPr>
        <w:pStyle w:val="822"/>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5.如乙方没有按照合同规定提供相关服务，甲方有权从合同款中扣除误期赔偿费而不影响合同项下的其他补救方法，赔偿费按逾期交付合同总额每日千分之</w:t>
      </w:r>
      <w:r>
        <w:rPr>
          <w:rFonts w:ascii="Times New Roman" w:hAnsi="Times New Roman"/>
          <w:bCs/>
          <w:color w:val="000000"/>
          <w:sz w:val="24"/>
          <w:szCs w:val="24"/>
          <w:highlight w:val="none"/>
          <w:u w:val="single"/>
        </w:rPr>
        <w:t xml:space="preserve">六</w:t>
      </w:r>
      <w:r>
        <w:rPr>
          <w:rFonts w:ascii="Times New Roman" w:hAnsi="Times New Roman"/>
          <w:bCs/>
          <w:color w:val="000000"/>
          <w:sz w:val="24"/>
          <w:szCs w:val="24"/>
          <w:highlight w:val="none"/>
        </w:rPr>
        <w:t xml:space="preserve">执行。逾期超过约定日期</w:t>
      </w:r>
      <w:r>
        <w:rPr>
          <w:rFonts w:ascii="Times New Roman" w:hAnsi="Times New Roman"/>
          <w:bCs/>
          <w:color w:val="000000"/>
          <w:sz w:val="24"/>
          <w:szCs w:val="24"/>
          <w:highlight w:val="none"/>
          <w:u w:val="single"/>
        </w:rPr>
        <w:t xml:space="preserve">10</w:t>
      </w:r>
      <w:r>
        <w:rPr>
          <w:rFonts w:ascii="Times New Roman" w:hAnsi="Times New Roman"/>
          <w:bCs/>
          <w:color w:val="000000"/>
          <w:sz w:val="24"/>
          <w:szCs w:val="24"/>
          <w:highlight w:val="none"/>
        </w:rPr>
        <w:t xml:space="preserve">个工作日，甲方可解除本合同。</w:t>
      </w:r>
      <w:r>
        <w:rPr>
          <w:rFonts w:ascii="Times New Roman" w:hAnsi="Times New Roman"/>
          <w:color w:val="000000"/>
          <w:sz w:val="24"/>
          <w:szCs w:val="24"/>
          <w:highlight w:val="none"/>
        </w:rPr>
        <w:t xml:space="preserve">如果涉及公共利益，且赔偿金额无法弥补公共利益损失，甲方可要求继续履行或者采取其他补救措施</w:t>
      </w:r>
      <w:r>
        <w:rPr>
          <w:rFonts w:ascii="Times New Roman" w:hAnsi="Times New Roman"/>
          <w:bCs/>
          <w:color w:val="000000"/>
          <w:sz w:val="24"/>
          <w:szCs w:val="24"/>
          <w:highlight w:val="none"/>
        </w:rPr>
        <w:t xml:space="preserve">。</w:t>
      </w:r>
      <w:r>
        <w:rPr>
          <w:rFonts w:ascii="Times New Roman" w:hAnsi="Times New Roman"/>
          <w:bCs/>
          <w:color w:val="000000"/>
          <w:sz w:val="24"/>
          <w:szCs w:val="24"/>
          <w:highlight w:val="none"/>
        </w:rPr>
      </w:r>
      <w:r/>
    </w:p>
    <w:p>
      <w:pPr>
        <w:pStyle w:val="822"/>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w:t>
      </w:r>
      <w:r>
        <w:rPr>
          <w:rFonts w:ascii="Times New Roman" w:hAnsi="Times New Roman"/>
          <w:b/>
          <w:color w:val="000000"/>
          <w:sz w:val="24"/>
          <w:szCs w:val="24"/>
          <w:highlight w:val="none"/>
        </w:rPr>
        <w:t xml:space="preserve">、合同变更、中止与终止</w:t>
      </w:r>
      <w:r>
        <w:rPr>
          <w:rFonts w:ascii="Times New Roman" w:hAnsi="Times New Roman"/>
          <w:b/>
          <w:color w:val="000000"/>
          <w:sz w:val="24"/>
          <w:szCs w:val="24"/>
          <w:highlight w:val="none"/>
        </w:rPr>
      </w:r>
      <w:r/>
    </w:p>
    <w:p>
      <w:pPr>
        <w:pStyle w:val="822"/>
        <w:ind w:left="482"/>
        <w:spacing w:line="40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1.合同的变更</w:t>
      </w:r>
      <w:r>
        <w:rPr>
          <w:rFonts w:ascii="Times New Roman" w:hAnsi="Times New Roman"/>
          <w:b/>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2.合同的中止</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（1）合同履行过程中因</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就采购文件、采购过程或结果提起投诉的，甲方认为有必要的，可以中止合同的履行。</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（2）合同履行过程中，如果乙方出现以下情形之一的：</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color w:val="000000"/>
          <w:sz w:val="24"/>
          <w:szCs w:val="24"/>
          <w:highlight w:val="none"/>
        </w:rPr>
      </w:r>
      <w:r/>
    </w:p>
    <w:p>
      <w:pPr>
        <w:pStyle w:val="1284"/>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（4）甲方不得以行政区划调整、政府换届、机构或者职能调整以及相关责任人更替为由中止合同。</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3.合同的终止</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（1）合同因有效期限届满而终止；</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（2）乙方未按合同约定履行，构成根本性违约的，甲方有权终止合同，并追究乙方的违约责任。</w:t>
      </w:r>
      <w:r>
        <w:rPr>
          <w:rFonts w:ascii="Times New Roman" w:hAnsi="Times New Roman"/>
          <w:color w:val="000000"/>
          <w:sz w:val="24"/>
          <w:szCs w:val="24"/>
          <w:highlight w:val="none"/>
        </w:rPr>
      </w:r>
      <w:r/>
    </w:p>
    <w:p>
      <w:pPr>
        <w:pStyle w:val="1284"/>
        <w:ind w:firstLine="48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eastAsia="宋体" w:cs="Times New Roman"/>
          <w:color w:val="000000"/>
          <w:sz w:val="24"/>
          <w:szCs w:val="24"/>
          <w:highlight w:val="none"/>
        </w:rPr>
        <w:t xml:space="preserve">涉及国家利益、社会公共利益的情形</w:t>
      </w:r>
      <w:r>
        <w:rPr>
          <w:rFonts w:ascii="Times New Roman" w:hAnsi="Times New Roman" w:cs="Times New Roman"/>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eastAsia="宋体" w:cs="Times New Roman"/>
          <w:color w:val="000000"/>
          <w:sz w:val="24"/>
          <w:szCs w:val="24"/>
          <w:highlight w:val="none"/>
        </w:rPr>
      </w:r>
      <w:r/>
    </w:p>
    <w:p>
      <w:pPr>
        <w:pStyle w:val="822"/>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十一</w:t>
      </w:r>
      <w:r>
        <w:rPr>
          <w:rFonts w:ascii="Times New Roman" w:hAnsi="Times New Roman"/>
          <w:b/>
          <w:color w:val="000000"/>
          <w:sz w:val="24"/>
          <w:szCs w:val="24"/>
          <w:highlight w:val="none"/>
        </w:rPr>
        <w:t xml:space="preserve">、合同分包</w:t>
      </w:r>
      <w:r>
        <w:rPr>
          <w:rFonts w:ascii="Times New Roman" w:hAnsi="Times New Roman"/>
          <w:b/>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1.乙方不得将合同转包给其他</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。涉及合同分包的，乙方应根据采购文件和投标（响应）文件规定进行合同分包。</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2.乙方执行政府采购政策向中小企业依法分包的，乙方应当按采购文件和响应文件签订分包意向协议，分包意向协议属于本合同组成部分。</w:t>
      </w:r>
      <w:r>
        <w:rPr>
          <w:rFonts w:ascii="Times New Roman" w:hAnsi="Times New Roman"/>
          <w:color w:val="000000"/>
          <w:sz w:val="24"/>
          <w:szCs w:val="24"/>
          <w:highlight w:val="none"/>
        </w:rPr>
      </w:r>
      <w:r/>
    </w:p>
    <w:p>
      <w:pPr>
        <w:pStyle w:val="822"/>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十二</w:t>
      </w:r>
      <w:r>
        <w:rPr>
          <w:rFonts w:ascii="Times New Roman" w:hAnsi="Times New Roman"/>
          <w:b/>
          <w:color w:val="000000"/>
          <w:sz w:val="24"/>
          <w:szCs w:val="24"/>
          <w:highlight w:val="none"/>
        </w:rPr>
        <w:t xml:space="preserve">、不可抗力</w:t>
      </w:r>
      <w:r>
        <w:rPr>
          <w:rFonts w:ascii="Times New Roman" w:hAnsi="Times New Roman"/>
          <w:b/>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1.不可抗力是指合同双方不能预见、不能避免且不能克服的客观情况。</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2.任何一方对由于不可抗力造成的部分或全部不能履行合同不承担违约责任。但迟延履行后发生不可抗力的，不能免除责任。</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三</w:t>
      </w:r>
      <w:r>
        <w:rPr>
          <w:rFonts w:ascii="Times New Roman" w:hAnsi="Times New Roman"/>
          <w:b/>
          <w:bCs/>
          <w:color w:val="000000"/>
          <w:sz w:val="24"/>
          <w:szCs w:val="24"/>
          <w:highlight w:val="none"/>
        </w:rPr>
        <w:t xml:space="preserve">、政府采购政策</w:t>
      </w:r>
      <w:r>
        <w:rPr>
          <w:rFonts w:ascii="Times New Roman" w:hAnsi="Times New Roman"/>
          <w:b/>
          <w:bCs/>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lang w:val="en-GB"/>
        </w:rPr>
        <w:t xml:space="preserve">本合同应当按照规定执行政府采购政策。</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2.本合同依法执行政府采购政策的方式和内容，属于合同履约验收的范围。甲乙双方</w:t>
      </w:r>
      <w:r>
        <w:rPr>
          <w:rFonts w:ascii="Times New Roman" w:hAnsi="Times New Roman"/>
          <w:color w:val="000000"/>
          <w:sz w:val="24"/>
          <w:szCs w:val="24"/>
          <w:highlight w:val="none"/>
          <w:lang w:val="en-GB"/>
        </w:rPr>
        <w:t xml:space="preserve">未按规定要求执行政府采购政策造成损失的</w:t>
      </w:r>
      <w:r>
        <w:rPr>
          <w:rFonts w:ascii="Times New Roman" w:hAnsi="Times New Roman"/>
          <w:color w:val="000000"/>
          <w:sz w:val="24"/>
          <w:szCs w:val="24"/>
          <w:highlight w:val="none"/>
        </w:rPr>
        <w:t xml:space="preserve">，有过错的一方应当承担赔偿责任，双方都有过错的，各自承担相应的责任。</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四</w:t>
      </w:r>
      <w:r>
        <w:rPr>
          <w:rFonts w:ascii="Times New Roman" w:hAnsi="Times New Roman"/>
          <w:b/>
          <w:bCs/>
          <w:color w:val="000000"/>
          <w:sz w:val="24"/>
          <w:szCs w:val="24"/>
          <w:highlight w:val="none"/>
        </w:rPr>
        <w:t xml:space="preserve">、法律适用</w:t>
      </w:r>
      <w:r>
        <w:rPr>
          <w:rFonts w:ascii="Times New Roman" w:hAnsi="Times New Roman"/>
          <w:b/>
          <w:bCs/>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1.本合同的订立、生效、解释、履行及与本合同有关的争议解决，均适用法律、行政法规。</w:t>
      </w:r>
      <w:r>
        <w:rPr>
          <w:rFonts w:ascii="Times New Roman" w:hAnsi="Times New Roman" w:eastAsia="宋体" w:cs="Times New Roman"/>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2.本合同条款与法律、行政法规的强制性规定不一致的，双方当事人应按照法律、行政法规的强制性规定修改本合同的相关条款。</w:t>
      </w:r>
      <w:r>
        <w:rPr>
          <w:rFonts w:ascii="Times New Roman" w:hAnsi="Times New Roman" w:eastAsia="宋体" w:cs="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五</w:t>
      </w:r>
      <w:r>
        <w:rPr>
          <w:rFonts w:ascii="Times New Roman" w:hAnsi="Times New Roman"/>
          <w:b/>
          <w:bCs/>
          <w:color w:val="000000"/>
          <w:sz w:val="24"/>
          <w:szCs w:val="24"/>
          <w:highlight w:val="none"/>
        </w:rPr>
        <w:t xml:space="preserve">、通知</w:t>
      </w:r>
      <w:r>
        <w:rPr>
          <w:rFonts w:ascii="Times New Roman" w:hAnsi="Times New Roman"/>
          <w:b/>
          <w:bCs/>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1.本合同任何一方向对方发出的通知、信件、数据电文等，应当发送至本合同第一部分《政府采购合同协议书》所约定的通讯地址、联系人、联系电话或电子邮箱。</w:t>
      </w:r>
      <w:r>
        <w:rPr>
          <w:rFonts w:ascii="Times New Roman" w:hAnsi="Times New Roman" w:eastAsia="宋体" w:cs="Times New Roman"/>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2.一方当事人变更名称、住所、联系人、联系电话或电子邮箱等信息的，应当在变更后3日内及时书面通知对方，对方实际收到变更通知前的送达仍为有效送达。</w:t>
      </w:r>
      <w:r>
        <w:rPr>
          <w:rFonts w:ascii="Times New Roman" w:hAnsi="Times New Roman" w:eastAsia="宋体" w:cs="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3.本合同一方给另一方的通知均应采用书面形式，传真或快递送到本合同中规定的对方的地址和办理签收手续。</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4.通知以送达之日或通知书中规定的生效之日起生效，两者中以较迟之日为准。</w:t>
      </w:r>
      <w:r>
        <w:rPr>
          <w:rFonts w:ascii="Times New Roman" w:hAnsi="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六</w:t>
      </w:r>
      <w:r>
        <w:rPr>
          <w:rFonts w:ascii="Times New Roman" w:hAnsi="Times New Roman"/>
          <w:b/>
          <w:bCs/>
          <w:color w:val="000000"/>
          <w:sz w:val="24"/>
          <w:szCs w:val="24"/>
          <w:highlight w:val="none"/>
        </w:rPr>
        <w:t xml:space="preserve">、合同生效</w:t>
      </w:r>
      <w:r>
        <w:rPr>
          <w:rFonts w:ascii="Times New Roman" w:hAnsi="Times New Roman"/>
          <w:b/>
          <w:bCs/>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本合同自</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生效。</w:t>
      </w:r>
      <w:r>
        <w:rPr>
          <w:rFonts w:ascii="Times New Roman" w:hAnsi="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七</w:t>
      </w:r>
      <w:r>
        <w:rPr>
          <w:rFonts w:ascii="Times New Roman" w:hAnsi="Times New Roman"/>
          <w:b/>
          <w:bCs/>
          <w:color w:val="000000"/>
          <w:sz w:val="24"/>
          <w:szCs w:val="24"/>
          <w:highlight w:val="none"/>
        </w:rPr>
        <w:t xml:space="preserve">、合同份数</w:t>
      </w:r>
      <w:r>
        <w:rPr>
          <w:rFonts w:ascii="Times New Roman" w:hAnsi="Times New Roman"/>
          <w:b/>
          <w:bCs/>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本合同一式</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份，甲方执</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份，乙方执</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w:t>
      </w:r>
      <w:bookmarkStart w:id="136" w:name="_Hlk187856376"/>
      <w:r>
        <w:rPr>
          <w:rFonts w:ascii="Times New Roman" w:hAnsi="Times New Roman"/>
          <w:b/>
          <w:bCs/>
          <w:color w:val="000000"/>
          <w:sz w:val="24"/>
          <w:szCs w:val="24"/>
          <w:highlight w:val="none"/>
        </w:rPr>
        <w:t xml:space="preserve">纸质合同和</w:t>
      </w:r>
      <w:r>
        <w:rPr>
          <w:rFonts w:hint="eastAsia" w:ascii="Times New Roman" w:hAnsi="Times New Roman"/>
          <w:b/>
          <w:bCs/>
          <w:color w:val="000000"/>
          <w:sz w:val="24"/>
          <w:szCs w:val="24"/>
          <w:highlight w:val="none"/>
        </w:rPr>
        <w:t xml:space="preserve">双方</w:t>
      </w:r>
      <w:r>
        <w:rPr>
          <w:rFonts w:ascii="Times New Roman" w:hAnsi="Times New Roman"/>
          <w:b/>
          <w:bCs/>
          <w:color w:val="000000"/>
          <w:sz w:val="24"/>
          <w:szCs w:val="24"/>
          <w:highlight w:val="none"/>
        </w:rPr>
        <w:t xml:space="preserve">在“苏采云”系统签订的电子合同</w:t>
      </w:r>
      <w:bookmarkEnd w:id="136"/>
      <w:r>
        <w:rPr>
          <w:rFonts w:ascii="Times New Roman" w:hAnsi="Times New Roman"/>
          <w:color w:val="000000"/>
          <w:sz w:val="24"/>
          <w:szCs w:val="24"/>
          <w:highlight w:val="none"/>
        </w:rPr>
        <w:t xml:space="preserve">均具有同等法律效力。</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合同订立时间：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合同订立地点：</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r>
      <w:r/>
    </w:p>
    <w:p>
      <w:pPr>
        <w:pStyle w:val="822"/>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八</w:t>
      </w:r>
      <w:r>
        <w:rPr>
          <w:rFonts w:ascii="Times New Roman" w:hAnsi="Times New Roman"/>
          <w:b/>
          <w:bCs/>
          <w:color w:val="000000"/>
          <w:sz w:val="24"/>
          <w:szCs w:val="24"/>
          <w:highlight w:val="none"/>
        </w:rPr>
        <w:t xml:space="preserve">、解决争议的方法</w:t>
      </w:r>
      <w:r>
        <w:rPr>
          <w:rFonts w:ascii="Times New Roman" w:hAnsi="Times New Roman"/>
          <w:b/>
          <w:bCs/>
          <w:color w:val="000000"/>
          <w:sz w:val="24"/>
          <w:szCs w:val="24"/>
          <w:highlight w:val="none"/>
        </w:rPr>
      </w:r>
      <w:r/>
    </w:p>
    <w:p>
      <w:pPr>
        <w:pStyle w:val="1284"/>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宋体" w:cs="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2.选择仲裁的，由</w:t>
      </w:r>
      <w:r>
        <w:rPr>
          <w:rFonts w:ascii="Times New Roman" w:hAnsi="Times New Roman"/>
          <w:color w:val="000000"/>
          <w:sz w:val="24"/>
          <w:szCs w:val="24"/>
          <w:highlight w:val="none"/>
          <w:u w:val="single"/>
        </w:rPr>
        <w:t xml:space="preserve">甲方</w:t>
      </w:r>
      <w:r>
        <w:rPr>
          <w:rFonts w:ascii="Times New Roman" w:hAnsi="Times New Roman"/>
          <w:color w:val="000000"/>
          <w:sz w:val="24"/>
          <w:szCs w:val="24"/>
          <w:highlight w:val="none"/>
        </w:rPr>
        <w:t xml:space="preserve">所住地仲裁机构；通过诉讼方式的，由</w:t>
      </w:r>
      <w:r>
        <w:rPr>
          <w:rFonts w:ascii="Times New Roman" w:hAnsi="Times New Roman"/>
          <w:color w:val="000000"/>
          <w:sz w:val="24"/>
          <w:szCs w:val="24"/>
          <w:highlight w:val="none"/>
          <w:u w:val="single"/>
        </w:rPr>
        <w:t xml:space="preserve">甲方</w:t>
      </w:r>
      <w:r>
        <w:rPr>
          <w:rFonts w:ascii="Times New Roman" w:hAnsi="Times New Roman"/>
          <w:color w:val="000000"/>
          <w:sz w:val="24"/>
          <w:szCs w:val="24"/>
          <w:highlight w:val="none"/>
        </w:rPr>
        <w:t xml:space="preserve">住所地人民法院管辖，但管辖法院的约定不得违反级别管辖和专属管辖的规定。</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3.如甲乙双方有争议的事项不影响合同其他部分的履行，在争议解决期间，合同其他部分应当继续履行。</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附件：具体标的及其技术要求和商务要求、联合协议、分包意向协议等</w:t>
      </w:r>
      <w:r>
        <w:rPr>
          <w:rFonts w:ascii="Times New Roman" w:hAnsi="Times New Roman"/>
          <w:color w:val="000000"/>
          <w:sz w:val="24"/>
          <w:szCs w:val="24"/>
          <w:highlight w:val="none"/>
        </w:rPr>
      </w:r>
      <w:r/>
    </w:p>
    <w:p>
      <w:pPr>
        <w:pStyle w:val="1233"/>
        <w:rPr>
          <w:color w:val="000000"/>
          <w:highlight w:val="none"/>
        </w:rPr>
      </w:pPr>
      <w:r>
        <w:rPr>
          <w:color w:val="000000"/>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W w:w="4746" w:type="dxa"/>
            <w:vAlign w:val="center"/>
            <w:textDirection w:val="lrTb"/>
            <w:noWrap w:val="false"/>
          </w:tcPr>
          <w:p>
            <w:pPr>
              <w:pStyle w:val="822"/>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w:t>
            </w:r>
            <w:r>
              <w:rPr>
                <w:rFonts w:hint="eastAsia"/>
                <w:color w:val="000000"/>
                <w:szCs w:val="21"/>
                <w:highlight w:val="none"/>
                <w:lang w:eastAsia="zh-CN"/>
              </w:rPr>
              <w:t xml:space="preserve">甲方</w:t>
            </w:r>
            <w:r>
              <w:rPr>
                <w:rFonts w:hint="eastAsia" w:ascii="宋体" w:hAnsi="宋体"/>
                <w:color w:val="000000"/>
                <w:szCs w:val="21"/>
                <w:highlight w:val="none"/>
              </w:rPr>
              <w:t xml:space="preserve">、受</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委托签订合同的单位或</w:t>
            </w:r>
            <w:r>
              <w:rPr>
                <w:rFonts w:hint="eastAsia"/>
                <w:color w:val="000000"/>
                <w:szCs w:val="21"/>
                <w:highlight w:val="none"/>
              </w:rPr>
              <w:t xml:space="preserve">采购文件约定的合同甲方）</w:t>
            </w:r>
            <w:r>
              <w:rPr>
                <w:color w:val="000000"/>
                <w:highlight w:val="none"/>
              </w:rPr>
            </w:r>
            <w:r/>
          </w:p>
        </w:tc>
        <w:tc>
          <w:tcPr>
            <w:gridSpan w:val="2"/>
            <w:tcW w:w="4517" w:type="dxa"/>
            <w:vAlign w:val="center"/>
            <w:textDirection w:val="lrTb"/>
            <w:noWrap w:val="false"/>
          </w:tcPr>
          <w:p>
            <w:pPr>
              <w:pStyle w:val="822"/>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w:t>
            </w:r>
            <w:r>
              <w:rPr>
                <w:rFonts w:hint="eastAsia"/>
                <w:color w:val="000000"/>
                <w:szCs w:val="21"/>
                <w:highlight w:val="none"/>
                <w:lang w:eastAsia="zh-CN"/>
              </w:rPr>
              <w:t xml:space="preserve">乙方</w:t>
            </w:r>
            <w:r>
              <w:rPr>
                <w:rFonts w:hint="eastAsia"/>
                <w:color w:val="000000"/>
                <w:szCs w:val="21"/>
                <w:highlight w:val="none"/>
              </w:rPr>
              <w:t xml:space="preserve">）</w:t>
            </w:r>
            <w:r>
              <w:rPr>
                <w:color w:val="000000"/>
                <w:highlight w:val="none"/>
              </w:rPr>
            </w:r>
            <w:r/>
          </w:p>
        </w:tc>
      </w:tr>
      <w:tr>
        <w:trPr>
          <w:trHeight w:val="917"/>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822"/>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822"/>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822"/>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22"/>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822"/>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9263" w:type="dxa"/>
            <w:vAlign w:val="center"/>
            <w:textDirection w:val="lrTb"/>
            <w:noWrap w:val="false"/>
          </w:tcPr>
          <w:p>
            <w:pPr>
              <w:pStyle w:val="860"/>
              <w:jc w:val="left"/>
              <w:spacing w:before="120" w:line="360" w:lineRule="auto"/>
              <w:rPr>
                <w:color w:val="000000"/>
                <w:spacing w:val="20"/>
                <w:szCs w:val="21"/>
                <w:highlight w:val="none"/>
              </w:rPr>
            </w:pPr>
            <w:r>
              <w:rPr>
                <w:rFonts w:hint="eastAsia" w:ascii="宋体" w:hAnsi="宋体" w:eastAsia="宋体" w:cs="宋体"/>
                <w:color w:val="000000"/>
                <w:sz w:val="21"/>
                <w:szCs w:val="21"/>
                <w:highlight w:val="none"/>
              </w:rPr>
              <w:t xml:space="preserve">注：涉及联合体或其他合同主体的信息应按上表格式加列。</w:t>
            </w:r>
            <w:r>
              <w:rPr>
                <w:color w:val="000000"/>
                <w:spacing w:val="20"/>
                <w:szCs w:val="21"/>
                <w:highlight w:val="none"/>
              </w:rPr>
            </w:r>
            <w:r/>
          </w:p>
        </w:tc>
      </w:tr>
    </w:tbl>
    <w:p>
      <w:pPr>
        <w:pStyle w:val="822"/>
      </w:pPr>
      <w:r/>
      <w:r/>
    </w:p>
    <w:p>
      <w:pPr>
        <w:pStyle w:val="903"/>
      </w:pPr>
      <w:r/>
      <w:r/>
    </w:p>
    <w:p>
      <w:pPr>
        <w:pStyle w:val="903"/>
        <w:ind w:left="0" w:firstLine="0"/>
        <w:rPr>
          <w:rFonts w:hint="eastAsia"/>
          <w:sz w:val="28"/>
          <w:szCs w:val="28"/>
          <w:lang w:val="en-US" w:eastAsia="zh-CN"/>
        </w:rPr>
      </w:pPr>
      <w:r>
        <w:rPr>
          <w:rFonts w:hint="eastAsia"/>
          <w:sz w:val="28"/>
          <w:szCs w:val="28"/>
          <w:lang w:val="en-US" w:eastAsia="zh-CN"/>
        </w:rPr>
        <w:t xml:space="preserve">附件</w:t>
      </w:r>
      <w:r>
        <w:rPr>
          <w:rFonts w:hint="eastAsia"/>
          <w:sz w:val="28"/>
          <w:szCs w:val="28"/>
          <w:lang w:val="en-US" w:eastAsia="zh-CN"/>
        </w:rPr>
      </w:r>
      <w:r/>
    </w:p>
    <w:p>
      <w:pPr>
        <w:pStyle w:val="903"/>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泗洪县（2026-2028年度）“一住两公”地块土壤污染状况调查服务采购项目</w:t>
      </w:r>
      <w:r>
        <w:rPr>
          <w:rFonts w:hint="eastAsia" w:ascii="宋体" w:hAnsi="宋体" w:eastAsia="宋体" w:cs="宋体"/>
          <w:sz w:val="24"/>
          <w:szCs w:val="24"/>
          <w:lang w:val="en-US" w:eastAsia="zh-CN"/>
        </w:rPr>
      </w:r>
      <w:r/>
    </w:p>
    <w:p>
      <w:pPr>
        <w:pStyle w:val="903"/>
        <w:ind w:left="0" w:firstLine="0"/>
        <w:jc w:val="center"/>
        <w:rPr>
          <w:lang w:val="en-US" w:eastAsia="zh-CN"/>
        </w:rPr>
      </w:pPr>
      <w:r>
        <w:rPr>
          <w:rFonts w:hint="eastAsia" w:ascii="宋体" w:hAnsi="宋体" w:eastAsia="宋体" w:cs="宋体"/>
          <w:sz w:val="24"/>
          <w:szCs w:val="24"/>
          <w:lang w:val="en-US" w:eastAsia="zh-CN"/>
        </w:rPr>
        <w:t xml:space="preserve">考核细则</w:t>
      </w:r>
      <w:r>
        <w:rPr>
          <w:lang w:val="en-US" w:eastAsia="zh-CN"/>
        </w:rPr>
      </w:r>
      <w:r/>
    </w:p>
    <w:tbl>
      <w:tblPr>
        <w:tblStyle w:val="1262"/>
        <w:tblW w:w="9753" w:type="dxa"/>
        <w:tblInd w:w="-5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5"/>
        <w:gridCol w:w="3510"/>
        <w:gridCol w:w="3177"/>
        <w:gridCol w:w="1701"/>
      </w:tblGrid>
      <w:tr>
        <w:trPr>
          <w:trHeight w:val="568"/>
        </w:trPr>
        <w:tc>
          <w:tcPr>
            <w:tcW w:w="1365" w:type="dxa"/>
            <w:vAlign w:val="top"/>
            <w:textDirection w:val="lrTb"/>
            <w:noWrap w:val="false"/>
          </w:tcPr>
          <w:p>
            <w:pPr>
              <w:pStyle w:val="1285"/>
              <w:ind w:left="222"/>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考核项目</w:t>
            </w:r>
            <w:r>
              <w:rPr>
                <w:rFonts w:hint="eastAsia" w:ascii="宋体" w:hAnsi="宋体" w:eastAsia="宋体" w:cs="宋体"/>
                <w:sz w:val="24"/>
                <w:szCs w:val="24"/>
              </w:rPr>
            </w:r>
            <w:r/>
          </w:p>
        </w:tc>
        <w:tc>
          <w:tcPr>
            <w:tcW w:w="3510" w:type="dxa"/>
            <w:vAlign w:val="top"/>
            <w:textDirection w:val="lrTb"/>
            <w:noWrap w:val="false"/>
          </w:tcPr>
          <w:p>
            <w:pPr>
              <w:pStyle w:val="1285"/>
              <w:ind w:left="1285"/>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考核内容</w:t>
            </w:r>
            <w:r>
              <w:rPr>
                <w:rFonts w:hint="eastAsia" w:ascii="宋体" w:hAnsi="宋体" w:eastAsia="宋体" w:cs="宋体"/>
                <w:sz w:val="24"/>
                <w:szCs w:val="24"/>
              </w:rPr>
            </w:r>
            <w:r/>
          </w:p>
        </w:tc>
        <w:tc>
          <w:tcPr>
            <w:tcW w:w="3177" w:type="dxa"/>
            <w:vAlign w:val="top"/>
            <w:textDirection w:val="lrTb"/>
            <w:noWrap w:val="false"/>
          </w:tcPr>
          <w:p>
            <w:pPr>
              <w:pStyle w:val="1285"/>
              <w:ind w:left="885"/>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考核标准</w:t>
            </w:r>
            <w:r>
              <w:rPr>
                <w:rFonts w:hint="eastAsia" w:ascii="宋体" w:hAnsi="宋体" w:eastAsia="宋体" w:cs="宋体"/>
                <w:sz w:val="24"/>
                <w:szCs w:val="24"/>
              </w:rPr>
            </w:r>
            <w:r/>
          </w:p>
        </w:tc>
        <w:tc>
          <w:tcPr>
            <w:tcW w:w="1701" w:type="dxa"/>
            <w:vAlign w:val="top"/>
            <w:textDirection w:val="lrTb"/>
            <w:noWrap w:val="false"/>
          </w:tcPr>
          <w:p>
            <w:pPr>
              <w:pStyle w:val="1285"/>
              <w:ind w:left="215"/>
              <w:spacing w:before="218" w:line="218" w:lineRule="auto"/>
              <w:rPr>
                <w:rFonts w:hint="eastAsia" w:ascii="宋体" w:hAnsi="宋体" w:eastAsia="宋体" w:cs="宋体"/>
                <w:sz w:val="24"/>
                <w:szCs w:val="24"/>
              </w:rPr>
            </w:pPr>
            <w:r>
              <w:rPr>
                <w:rFonts w:hint="eastAsia" w:ascii="宋体" w:hAnsi="宋体" w:eastAsia="宋体" w:cs="宋体"/>
                <w:spacing w:val="-6"/>
                <w:sz w:val="24"/>
                <w:szCs w:val="24"/>
              </w:rPr>
              <w:t xml:space="preserve">所扣分值/分</w:t>
            </w:r>
            <w:r>
              <w:rPr>
                <w:rFonts w:hint="eastAsia" w:ascii="宋体" w:hAnsi="宋体" w:eastAsia="宋体" w:cs="宋体"/>
                <w:sz w:val="24"/>
                <w:szCs w:val="24"/>
              </w:rPr>
            </w:r>
            <w:r/>
          </w:p>
        </w:tc>
      </w:tr>
      <w:tr>
        <w:trPr>
          <w:trHeight w:val="563"/>
        </w:trPr>
        <w:tc>
          <w:tcPr>
            <w:gridSpan w:val="4"/>
            <w:tcW w:w="9753" w:type="dxa"/>
            <w:vAlign w:val="top"/>
            <w:textDirection w:val="lrTb"/>
            <w:noWrap w:val="false"/>
          </w:tcPr>
          <w:p>
            <w:pPr>
              <w:pStyle w:val="1285"/>
              <w:ind w:left="144"/>
              <w:spacing w:before="211"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一、进度服务响应</w:t>
            </w:r>
            <w:r>
              <w:rPr>
                <w:rFonts w:hint="eastAsia" w:ascii="宋体" w:hAnsi="宋体" w:eastAsia="宋体" w:cs="宋体"/>
                <w:sz w:val="24"/>
                <w:szCs w:val="24"/>
              </w:rPr>
            </w:r>
            <w:r/>
          </w:p>
        </w:tc>
      </w:tr>
      <w:tr>
        <w:trPr>
          <w:trHeight w:val="1444"/>
        </w:trPr>
        <w:tc>
          <w:tcPr>
            <w:tcW w:w="1365" w:type="dxa"/>
            <w:vAlign w:val="center"/>
            <w:textDirection w:val="lrTb"/>
            <w:noWrap w:val="false"/>
          </w:tcPr>
          <w:p>
            <w:pPr>
              <w:pStyle w:val="822"/>
              <w:jc w:val="center"/>
              <w:spacing w:line="244" w:lineRule="auto"/>
              <w:rPr>
                <w:rFonts w:hint="eastAsia" w:ascii="宋体" w:hAnsi="宋体" w:eastAsia="宋体" w:cs="宋体"/>
                <w:sz w:val="24"/>
                <w:szCs w:val="24"/>
              </w:rPr>
            </w:pPr>
            <w:r>
              <w:rPr>
                <w:rFonts w:hint="eastAsia" w:ascii="宋体" w:hAnsi="宋体" w:eastAsia="宋体" w:cs="宋体"/>
                <w:sz w:val="24"/>
                <w:szCs w:val="24"/>
              </w:rPr>
            </w:r>
            <w:r/>
          </w:p>
          <w:p>
            <w:pPr>
              <w:pStyle w:val="1285"/>
              <w:ind w:left="134"/>
              <w:jc w:val="both"/>
              <w:spacing w:before="78" w:line="218" w:lineRule="auto"/>
              <w:rPr>
                <w:rFonts w:hint="eastAsia" w:ascii="宋体" w:hAnsi="宋体" w:eastAsia="宋体" w:cs="宋体"/>
                <w:sz w:val="24"/>
                <w:szCs w:val="24"/>
              </w:rPr>
            </w:pPr>
            <w:r>
              <w:rPr>
                <w:rFonts w:hint="eastAsia" w:ascii="宋体" w:hAnsi="宋体" w:eastAsia="宋体" w:cs="宋体"/>
                <w:spacing w:val="-7"/>
                <w:sz w:val="24"/>
                <w:szCs w:val="24"/>
              </w:rPr>
              <w:t xml:space="preserve">服务响应</w:t>
            </w:r>
            <w:r>
              <w:rPr>
                <w:rFonts w:hint="eastAsia" w:ascii="宋体" w:hAnsi="宋体" w:eastAsia="宋体" w:cs="宋体"/>
                <w:sz w:val="24"/>
                <w:szCs w:val="24"/>
              </w:rPr>
            </w:r>
            <w:r/>
          </w:p>
        </w:tc>
        <w:tc>
          <w:tcPr>
            <w:tcW w:w="3510"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指定项目负责人，确定信息沟通渠道，提供沟通平台，保证服务热线畅通。</w:t>
            </w:r>
            <w:r>
              <w:rPr>
                <w:rFonts w:hint="eastAsia" w:ascii="Times New Roman" w:hAnsi="Times New Roman" w:eastAsia="宋体" w:cs="仿宋"/>
                <w:sz w:val="24"/>
                <w:szCs w:val="24"/>
                <w:highlight w:val="none"/>
                <w:lang w:val="en-US" w:eastAsia="zh-CN"/>
              </w:rPr>
            </w:r>
            <w:r/>
          </w:p>
        </w:tc>
        <w:tc>
          <w:tcPr>
            <w:tcW w:w="3177"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在收到采购人咨询后于 1-2个工作日内响应。响应不及时，每次扣除1 分。</w:t>
            </w:r>
            <w:r>
              <w:rPr>
                <w:rFonts w:hint="eastAsia" w:ascii="Times New Roman" w:hAnsi="Times New Roman" w:eastAsia="宋体" w:cs="仿宋"/>
                <w:sz w:val="24"/>
                <w:szCs w:val="24"/>
                <w:highlight w:val="none"/>
                <w:lang w:val="en-US" w:eastAsia="zh-CN"/>
              </w:rPr>
            </w:r>
            <w:r/>
          </w:p>
        </w:tc>
        <w:tc>
          <w:tcPr>
            <w:tcW w:w="1701" w:type="dxa"/>
            <w:vAlign w:val="top"/>
            <w:textDirection w:val="lrTb"/>
            <w:noWrap w:val="false"/>
          </w:tcPr>
          <w:p>
            <w:pPr>
              <w:pStyle w:val="822"/>
              <w:rPr>
                <w:rFonts w:hint="eastAsia" w:ascii="宋体" w:hAnsi="宋体" w:eastAsia="宋体" w:cs="宋体"/>
                <w:sz w:val="24"/>
                <w:szCs w:val="24"/>
              </w:rPr>
            </w:pPr>
            <w:r>
              <w:rPr>
                <w:rFonts w:hint="eastAsia" w:ascii="宋体" w:hAnsi="宋体" w:eastAsia="宋体" w:cs="宋体"/>
                <w:sz w:val="24"/>
                <w:szCs w:val="24"/>
              </w:rPr>
            </w:r>
            <w:r/>
          </w:p>
        </w:tc>
      </w:tr>
      <w:tr>
        <w:trPr>
          <w:trHeight w:val="2522"/>
        </w:trPr>
        <w:tc>
          <w:tcPr>
            <w:tcW w:w="1365" w:type="dxa"/>
            <w:vAlign w:val="center"/>
            <w:textDirection w:val="lrTb"/>
            <w:noWrap w:val="false"/>
          </w:tcPr>
          <w:p>
            <w:pPr>
              <w:pStyle w:val="1285"/>
              <w:ind w:left="139"/>
              <w:jc w:val="center"/>
              <w:spacing w:before="78" w:line="217" w:lineRule="auto"/>
              <w:rPr>
                <w:rFonts w:hint="eastAsia" w:ascii="宋体" w:hAnsi="宋体" w:eastAsia="宋体" w:cs="宋体"/>
                <w:sz w:val="24"/>
                <w:szCs w:val="24"/>
              </w:rPr>
            </w:pPr>
            <w:r>
              <w:rPr>
                <w:rFonts w:hint="eastAsia" w:ascii="宋体" w:hAnsi="宋体" w:eastAsia="宋体" w:cs="宋体"/>
                <w:spacing w:val="-9"/>
                <w:sz w:val="24"/>
                <w:szCs w:val="24"/>
              </w:rPr>
              <w:t xml:space="preserve">进度保证</w:t>
            </w:r>
            <w:r>
              <w:rPr>
                <w:rFonts w:hint="eastAsia" w:ascii="宋体" w:hAnsi="宋体" w:eastAsia="宋体" w:cs="宋体"/>
                <w:sz w:val="24"/>
                <w:szCs w:val="24"/>
              </w:rPr>
            </w:r>
            <w:r/>
          </w:p>
        </w:tc>
        <w:tc>
          <w:tcPr>
            <w:tcW w:w="3510"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中标人应与采购人紧密配合，按照合同进度计划完成工作。</w:t>
            </w:r>
            <w:r>
              <w:rPr>
                <w:rFonts w:hint="eastAsia" w:ascii="Times New Roman" w:hAnsi="Times New Roman" w:eastAsia="宋体" w:cs="仿宋"/>
                <w:sz w:val="24"/>
                <w:szCs w:val="24"/>
                <w:highlight w:val="none"/>
                <w:lang w:val="en-US" w:eastAsia="zh-CN"/>
              </w:rPr>
            </w:r>
            <w:r/>
          </w:p>
        </w:tc>
        <w:tc>
          <w:tcPr>
            <w:tcW w:w="3177"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由于中标人原因，未能按合同进度计划完成工作，或采购人认为中标人工作进度不能满足合同工期要求的， 中标人应采取措施加快进度，每推迟1天，扣除1分。</w:t>
            </w:r>
            <w:r>
              <w:rPr>
                <w:rFonts w:hint="eastAsia" w:ascii="Times New Roman" w:hAnsi="Times New Roman" w:eastAsia="宋体" w:cs="仿宋"/>
                <w:sz w:val="24"/>
                <w:szCs w:val="24"/>
                <w:highlight w:val="none"/>
                <w:lang w:val="en-US" w:eastAsia="zh-CN"/>
              </w:rPr>
            </w:r>
            <w:r/>
          </w:p>
        </w:tc>
        <w:tc>
          <w:tcPr>
            <w:tcW w:w="1701" w:type="dxa"/>
            <w:vAlign w:val="top"/>
            <w:textDirection w:val="lrTb"/>
            <w:noWrap w:val="false"/>
          </w:tcPr>
          <w:p>
            <w:pPr>
              <w:pStyle w:val="822"/>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gridSpan w:val="4"/>
            <w:tcW w:w="9753" w:type="dxa"/>
            <w:vAlign w:val="top"/>
            <w:textDirection w:val="lrTb"/>
            <w:noWrap w:val="false"/>
          </w:tcPr>
          <w:p>
            <w:pPr>
              <w:pStyle w:val="1285"/>
              <w:ind w:left="152"/>
              <w:spacing w:before="218" w:line="218" w:lineRule="auto"/>
              <w:rPr>
                <w:rFonts w:hint="eastAsia" w:ascii="宋体" w:hAnsi="宋体" w:eastAsia="宋体" w:cs="宋体"/>
                <w:sz w:val="24"/>
                <w:szCs w:val="24"/>
              </w:rPr>
            </w:pPr>
            <w:r>
              <w:rPr>
                <w:rFonts w:hint="eastAsia" w:ascii="宋体" w:hAnsi="宋体" w:eastAsia="宋体" w:cs="宋体"/>
                <w:spacing w:val="-8"/>
                <w:sz w:val="24"/>
                <w:szCs w:val="24"/>
              </w:rPr>
              <w:t xml:space="preserve">二、项目成果质量</w:t>
            </w:r>
            <w:r>
              <w:rPr>
                <w:rFonts w:hint="eastAsia" w:ascii="宋体" w:hAnsi="宋体" w:eastAsia="宋体" w:cs="宋体"/>
                <w:sz w:val="24"/>
                <w:szCs w:val="24"/>
              </w:rPr>
            </w:r>
            <w:r/>
          </w:p>
        </w:tc>
      </w:tr>
      <w:tr>
        <w:trPr>
          <w:trHeight w:val="2884"/>
        </w:trPr>
        <w:tc>
          <w:tcPr>
            <w:tcW w:w="1365" w:type="dxa"/>
            <w:vAlign w:val="center"/>
            <w:textDirection w:val="lrTb"/>
            <w:noWrap w:val="false"/>
          </w:tcPr>
          <w:p>
            <w:pPr>
              <w:pStyle w:val="1285"/>
              <w:jc w:val="both"/>
              <w:spacing w:before="78" w:line="217" w:lineRule="auto"/>
              <w:rPr>
                <w:rFonts w:hint="eastAsia" w:ascii="宋体" w:hAnsi="宋体" w:eastAsia="宋体" w:cs="宋体"/>
                <w:spacing w:val="-9"/>
                <w:sz w:val="24"/>
                <w:szCs w:val="24"/>
              </w:rPr>
            </w:pPr>
            <w:r>
              <w:rPr>
                <w:rFonts w:hint="eastAsia" w:ascii="宋体" w:hAnsi="宋体" w:eastAsia="宋体" w:cs="宋体"/>
                <w:spacing w:val="-9"/>
                <w:sz w:val="24"/>
                <w:szCs w:val="24"/>
              </w:rPr>
            </w:r>
            <w:r/>
          </w:p>
          <w:p>
            <w:pPr>
              <w:pStyle w:val="1285"/>
              <w:ind w:left="138"/>
              <w:jc w:val="center"/>
              <w:spacing w:before="78" w:line="217" w:lineRule="auto"/>
              <w:rPr>
                <w:rFonts w:hint="eastAsia" w:ascii="宋体" w:hAnsi="宋体" w:eastAsia="宋体" w:cs="宋体"/>
                <w:sz w:val="24"/>
                <w:szCs w:val="24"/>
              </w:rPr>
            </w:pPr>
            <w:r>
              <w:rPr>
                <w:rFonts w:hint="eastAsia" w:ascii="宋体" w:hAnsi="宋体" w:eastAsia="宋体" w:cs="宋体"/>
                <w:spacing w:val="-9"/>
                <w:sz w:val="24"/>
                <w:szCs w:val="24"/>
              </w:rPr>
              <w:t xml:space="preserve">项目编制</w:t>
            </w:r>
            <w:r>
              <w:rPr>
                <w:rFonts w:hint="eastAsia" w:ascii="宋体" w:hAnsi="宋体" w:eastAsia="宋体" w:cs="宋体"/>
                <w:sz w:val="24"/>
                <w:szCs w:val="24"/>
              </w:rPr>
            </w:r>
            <w:r/>
          </w:p>
        </w:tc>
        <w:tc>
          <w:tcPr>
            <w:tcW w:w="3510"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中标人应按照项目的实际要求开展工作，确保项目顺利通过审批、并积极配合结合公告意见、评审意见修改方案。</w:t>
            </w:r>
            <w:r>
              <w:rPr>
                <w:rFonts w:hint="eastAsia" w:ascii="Times New Roman" w:hAnsi="Times New Roman" w:eastAsia="宋体" w:cs="仿宋"/>
                <w:sz w:val="24"/>
                <w:szCs w:val="24"/>
                <w:highlight w:val="none"/>
                <w:lang w:val="en-US" w:eastAsia="zh-CN"/>
              </w:rPr>
            </w:r>
            <w:r/>
          </w:p>
        </w:tc>
        <w:tc>
          <w:tcPr>
            <w:tcW w:w="3177" w:type="dxa"/>
            <w:vAlign w:val="center"/>
            <w:textDirection w:val="lrTb"/>
            <w:noWrap w:val="false"/>
          </w:tcPr>
          <w:p>
            <w:pPr>
              <w:pStyle w:val="822"/>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因中标人失误，造成成果不合格的，采购人可以随时发出指示，要求中标人立即采取措施进行补救，直至达到要求的质量标准。 中标人失误，每次扣除2分。</w:t>
            </w:r>
            <w:r>
              <w:rPr>
                <w:rFonts w:hint="eastAsia" w:ascii="Times New Roman" w:hAnsi="Times New Roman" w:eastAsia="宋体" w:cs="仿宋"/>
                <w:sz w:val="24"/>
                <w:szCs w:val="24"/>
                <w:highlight w:val="none"/>
                <w:lang w:val="en-US" w:eastAsia="zh-CN"/>
              </w:rPr>
            </w:r>
            <w:r/>
          </w:p>
        </w:tc>
        <w:tc>
          <w:tcPr>
            <w:tcW w:w="1701"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84"/>
        </w:trPr>
        <w:tc>
          <w:tcPr>
            <w:tcW w:w="1365" w:type="dxa"/>
            <w:vAlign w:val="center"/>
            <w:textDirection w:val="lrTb"/>
            <w:noWrap w:val="false"/>
          </w:tcPr>
          <w:p>
            <w:pPr>
              <w:pStyle w:val="822"/>
              <w:jc w:val="center"/>
              <w:spacing w:line="278" w:lineRule="auto"/>
              <w:rPr>
                <w:rFonts w:hint="eastAsia" w:ascii="宋体" w:hAnsi="宋体" w:eastAsia="宋体" w:cs="宋体"/>
                <w:sz w:val="24"/>
                <w:szCs w:val="24"/>
              </w:rPr>
            </w:pPr>
            <w:r>
              <w:rPr>
                <w:rFonts w:hint="eastAsia" w:ascii="宋体" w:hAnsi="宋体" w:eastAsia="宋体" w:cs="宋体"/>
                <w:sz w:val="24"/>
                <w:szCs w:val="24"/>
              </w:rPr>
            </w:r>
            <w:r/>
          </w:p>
          <w:p>
            <w:pPr>
              <w:pStyle w:val="1285"/>
              <w:ind w:left="153"/>
              <w:jc w:val="center"/>
              <w:spacing w:before="78" w:line="218" w:lineRule="auto"/>
              <w:rPr>
                <w:rFonts w:hint="eastAsia" w:ascii="宋体" w:hAnsi="宋体" w:eastAsia="宋体" w:cs="宋体"/>
                <w:sz w:val="24"/>
                <w:szCs w:val="24"/>
              </w:rPr>
            </w:pPr>
            <w:r>
              <w:rPr>
                <w:rFonts w:hint="eastAsia" w:ascii="宋体" w:hAnsi="宋体" w:eastAsia="宋体" w:cs="宋体"/>
                <w:spacing w:val="-10"/>
                <w:sz w:val="24"/>
                <w:szCs w:val="24"/>
              </w:rPr>
              <w:t xml:space="preserve">汇报协调</w:t>
            </w:r>
            <w:r>
              <w:rPr>
                <w:rFonts w:hint="eastAsia" w:ascii="宋体" w:hAnsi="宋体" w:eastAsia="宋体" w:cs="宋体"/>
                <w:sz w:val="24"/>
                <w:szCs w:val="24"/>
              </w:rPr>
            </w:r>
            <w:r/>
          </w:p>
        </w:tc>
        <w:tc>
          <w:tcPr>
            <w:tcW w:w="3510"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中标人需保证中标后汇报次数、积极协调各方需求、处理各种问题。汇报项目进展情况和成果内容，处理项目编制中出现的各种问题。保证主动参与上下层次的项目协调会，配合有关部门工作 需要，提供技术协调服务。</w:t>
            </w:r>
            <w:r>
              <w:rPr>
                <w:rFonts w:hint="eastAsia" w:ascii="Times New Roman" w:hAnsi="Times New Roman" w:eastAsia="宋体" w:cs="仿宋"/>
                <w:sz w:val="24"/>
                <w:szCs w:val="24"/>
                <w:highlight w:val="none"/>
                <w:lang w:val="en-US" w:eastAsia="zh-CN" w:bidi="ar-SA"/>
              </w:rPr>
            </w:r>
            <w:r/>
          </w:p>
        </w:tc>
        <w:tc>
          <w:tcPr>
            <w:tcW w:w="3177" w:type="dxa"/>
            <w:vAlign w:val="center"/>
            <w:textDirection w:val="lrTb"/>
            <w:noWrap w:val="false"/>
          </w:tcPr>
          <w:p>
            <w:pPr>
              <w:pStyle w:val="822"/>
              <w:jc w:val="center"/>
              <w:spacing w:line="250"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r>
            <w:r/>
          </w:p>
          <w:p>
            <w:pPr>
              <w:pStyle w:val="1285"/>
              <w:ind w:left="131" w:right="110" w:firstLine="62"/>
              <w:jc w:val="center"/>
              <w:spacing w:before="78" w:line="267"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中标人由于主观原因无法及时到场沟通， 汇报数量和 质量无法达到采购人要求，每次扣除 2 分。</w:t>
            </w:r>
            <w:r>
              <w:rPr>
                <w:rFonts w:hint="eastAsia" w:ascii="Times New Roman" w:hAnsi="Times New Roman" w:eastAsia="宋体" w:cs="仿宋"/>
                <w:sz w:val="24"/>
                <w:szCs w:val="24"/>
                <w:highlight w:val="none"/>
                <w:lang w:val="en-US" w:eastAsia="zh-CN" w:bidi="ar-SA"/>
              </w:rPr>
            </w:r>
            <w:r/>
          </w:p>
        </w:tc>
        <w:tc>
          <w:tcPr>
            <w:tcW w:w="1701"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gridSpan w:val="4"/>
            <w:tcW w:w="9753" w:type="dxa"/>
            <w:vAlign w:val="top"/>
            <w:textDirection w:val="lrTb"/>
            <w:noWrap w:val="false"/>
          </w:tcPr>
          <w:p>
            <w:pPr>
              <w:pStyle w:val="1285"/>
              <w:ind w:left="149"/>
              <w:spacing w:before="223" w:line="217" w:lineRule="auto"/>
              <w:rPr>
                <w:rFonts w:hint="eastAsia" w:ascii="宋体" w:hAnsi="宋体" w:eastAsia="宋体" w:cs="宋体"/>
                <w:sz w:val="24"/>
                <w:szCs w:val="24"/>
              </w:rPr>
            </w:pPr>
            <w:r>
              <w:rPr>
                <w:rFonts w:hint="eastAsia" w:ascii="宋体" w:hAnsi="宋体" w:eastAsia="宋体" w:cs="宋体"/>
                <w:spacing w:val="-8"/>
                <w:sz w:val="24"/>
                <w:szCs w:val="24"/>
              </w:rPr>
              <w:t xml:space="preserve">三、后续服务保障</w:t>
            </w:r>
            <w:r>
              <w:rPr>
                <w:rFonts w:hint="eastAsia" w:ascii="宋体" w:hAnsi="宋体" w:eastAsia="宋体" w:cs="宋体"/>
                <w:sz w:val="24"/>
                <w:szCs w:val="24"/>
              </w:rPr>
            </w:r>
            <w:r/>
          </w:p>
        </w:tc>
      </w:tr>
      <w:tr>
        <w:trPr>
          <w:trHeight w:val="715"/>
        </w:trPr>
        <w:tc>
          <w:tcPr>
            <w:tcW w:w="1365"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报批归档</w:t>
            </w:r>
            <w:r>
              <w:rPr>
                <w:rFonts w:hint="eastAsia" w:ascii="Times New Roman" w:hAnsi="Times New Roman" w:eastAsia="宋体" w:cs="仿宋"/>
                <w:sz w:val="24"/>
                <w:szCs w:val="24"/>
                <w:highlight w:val="none"/>
                <w:lang w:val="en-US" w:eastAsia="zh-CN" w:bidi="ar-SA"/>
              </w:rPr>
            </w:r>
            <w:r/>
          </w:p>
        </w:tc>
        <w:tc>
          <w:tcPr>
            <w:tcW w:w="3510"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保证归档成果、协助成果展示、提供后续服务。根据行政主管部门对于详细规划公告、公示的相关规定制作成果展示与公告公示材料电子数据成果。保证协助行政主管部门进行正式成果的归档。成果归档后，中标人需要对成果质量全面负责， 并提供相关后续服务。</w:t>
            </w:r>
            <w:r>
              <w:rPr>
                <w:rFonts w:hint="eastAsia" w:ascii="Times New Roman" w:hAnsi="Times New Roman" w:eastAsia="宋体" w:cs="仿宋"/>
                <w:sz w:val="24"/>
                <w:szCs w:val="24"/>
                <w:highlight w:val="none"/>
                <w:lang w:val="en-US" w:eastAsia="zh-CN" w:bidi="ar-SA"/>
              </w:rPr>
            </w:r>
            <w:r/>
          </w:p>
        </w:tc>
        <w:tc>
          <w:tcPr>
            <w:tcW w:w="3177"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工作响应不及时， 每次扣1 分，未按要求做好服务工作 或配合不到位，每次扣2 分。</w:t>
            </w:r>
            <w:r>
              <w:rPr>
                <w:rFonts w:hint="eastAsia" w:ascii="Times New Roman" w:hAnsi="Times New Roman" w:eastAsia="宋体" w:cs="仿宋"/>
                <w:sz w:val="24"/>
                <w:szCs w:val="24"/>
                <w:highlight w:val="none"/>
                <w:lang w:val="en-US" w:eastAsia="zh-CN" w:bidi="ar-SA"/>
              </w:rPr>
            </w:r>
            <w:r/>
          </w:p>
        </w:tc>
        <w:tc>
          <w:tcPr>
            <w:tcW w:w="1701"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79"/>
        </w:trPr>
        <w:tc>
          <w:tcPr>
            <w:tcW w:w="1365" w:type="dxa"/>
            <w:vAlign w:val="center"/>
            <w:textDirection w:val="lrTb"/>
            <w:noWrap w:val="false"/>
          </w:tcPr>
          <w:p>
            <w:pPr>
              <w:pStyle w:val="1285"/>
              <w:ind w:right="31"/>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临时事项</w:t>
            </w:r>
            <w:r>
              <w:rPr>
                <w:rFonts w:hint="eastAsia" w:ascii="Times New Roman" w:hAnsi="Times New Roman" w:eastAsia="宋体" w:cs="仿宋"/>
                <w:sz w:val="24"/>
                <w:szCs w:val="24"/>
                <w:highlight w:val="none"/>
                <w:lang w:val="en-US" w:eastAsia="zh-CN" w:bidi="ar-SA"/>
              </w:rPr>
            </w:r>
            <w:r/>
          </w:p>
        </w:tc>
        <w:tc>
          <w:tcPr>
            <w:tcW w:w="3510"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按采购人要求做好故障处理的管控。采购人要求须做好临时事项的服务保障工作。</w:t>
            </w:r>
            <w:r>
              <w:rPr>
                <w:rFonts w:hint="eastAsia" w:ascii="Times New Roman" w:hAnsi="Times New Roman" w:eastAsia="宋体" w:cs="仿宋"/>
                <w:sz w:val="24"/>
                <w:szCs w:val="24"/>
                <w:highlight w:val="none"/>
                <w:lang w:val="en-US" w:eastAsia="zh-CN" w:bidi="ar-SA"/>
              </w:rPr>
            </w:r>
            <w:r/>
          </w:p>
        </w:tc>
        <w:tc>
          <w:tcPr>
            <w:tcW w:w="3177" w:type="dxa"/>
            <w:vAlign w:val="center"/>
            <w:textDirection w:val="lrTb"/>
            <w:noWrap w:val="false"/>
          </w:tcPr>
          <w:p>
            <w:pPr>
              <w:pStyle w:val="1285"/>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未按要求做好服务工作或配合不到位，每次扣2分。</w:t>
            </w:r>
            <w:r>
              <w:rPr>
                <w:rFonts w:hint="eastAsia" w:ascii="Times New Roman" w:hAnsi="Times New Roman" w:eastAsia="宋体" w:cs="仿宋"/>
                <w:sz w:val="24"/>
                <w:szCs w:val="24"/>
                <w:highlight w:val="none"/>
                <w:lang w:val="en-US" w:eastAsia="zh-CN" w:bidi="ar-SA"/>
              </w:rPr>
            </w:r>
            <w:r/>
          </w:p>
        </w:tc>
        <w:tc>
          <w:tcPr>
            <w:tcW w:w="1701" w:type="dxa"/>
            <w:vAlign w:val="center"/>
            <w:textDirection w:val="lrTb"/>
            <w:noWrap w:val="false"/>
          </w:tcPr>
          <w:p>
            <w:pPr>
              <w:pStyle w:val="82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gridSpan w:val="3"/>
            <w:tcW w:w="8052" w:type="dxa"/>
            <w:vAlign w:val="top"/>
            <w:textDirection w:val="lrTb"/>
            <w:noWrap w:val="false"/>
          </w:tcPr>
          <w:p>
            <w:pPr>
              <w:pStyle w:val="1285"/>
              <w:ind w:left="3311"/>
              <w:spacing w:before="204" w:line="218" w:lineRule="auto"/>
              <w:rPr>
                <w:rFonts w:hint="eastAsia" w:ascii="宋体" w:hAnsi="宋体" w:eastAsia="宋体" w:cs="宋体"/>
                <w:sz w:val="24"/>
                <w:szCs w:val="24"/>
              </w:rPr>
            </w:pPr>
            <w:r>
              <w:rPr>
                <w:rFonts w:hint="eastAsia" w:ascii="宋体" w:hAnsi="宋体" w:eastAsia="宋体" w:cs="宋体"/>
                <w:spacing w:val="-10"/>
                <w:sz w:val="24"/>
                <w:szCs w:val="24"/>
              </w:rPr>
              <w:t xml:space="preserve">扣分小计</w:t>
            </w:r>
            <w:r>
              <w:rPr>
                <w:rFonts w:hint="eastAsia" w:ascii="宋体" w:hAnsi="宋体" w:eastAsia="宋体" w:cs="宋体"/>
                <w:sz w:val="24"/>
                <w:szCs w:val="24"/>
              </w:rPr>
            </w:r>
            <w:r/>
          </w:p>
        </w:tc>
        <w:tc>
          <w:tcPr>
            <w:tcW w:w="1701" w:type="dxa"/>
            <w:vAlign w:val="top"/>
            <w:textDirection w:val="lrTb"/>
            <w:noWrap w:val="false"/>
          </w:tcPr>
          <w:p>
            <w:pPr>
              <w:pStyle w:val="822"/>
              <w:rPr>
                <w:rFonts w:hint="eastAsia" w:ascii="宋体" w:hAnsi="宋体" w:eastAsia="宋体" w:cs="宋体"/>
                <w:sz w:val="24"/>
                <w:szCs w:val="24"/>
              </w:rPr>
            </w:pPr>
            <w:r>
              <w:rPr>
                <w:rFonts w:hint="eastAsia" w:ascii="宋体" w:hAnsi="宋体" w:eastAsia="宋体" w:cs="宋体"/>
                <w:sz w:val="24"/>
                <w:szCs w:val="24"/>
              </w:rPr>
            </w:r>
            <w:r/>
          </w:p>
        </w:tc>
      </w:tr>
      <w:tr>
        <w:trPr>
          <w:trHeight w:val="462"/>
        </w:trPr>
        <w:tc>
          <w:tcPr>
            <w:gridSpan w:val="4"/>
            <w:tcW w:w="9753" w:type="dxa"/>
            <w:vAlign w:val="top"/>
            <w:textDirection w:val="lrTb"/>
            <w:noWrap w:val="false"/>
          </w:tcPr>
          <w:p>
            <w:pPr>
              <w:pStyle w:val="1285"/>
              <w:ind w:left="3080"/>
              <w:spacing w:before="201" w:line="193" w:lineRule="auto"/>
              <w:rPr>
                <w:rFonts w:hint="eastAsia" w:ascii="宋体" w:hAnsi="宋体" w:eastAsia="宋体" w:cs="宋体"/>
                <w:sz w:val="24"/>
                <w:szCs w:val="24"/>
              </w:rPr>
            </w:pPr>
            <w:r>
              <w:rPr>
                <w:rFonts w:hint="eastAsia" w:ascii="宋体" w:hAnsi="宋体" w:eastAsia="宋体" w:cs="宋体"/>
                <w:spacing w:val="-3"/>
                <w:sz w:val="24"/>
                <w:szCs w:val="24"/>
              </w:rPr>
              <w:t xml:space="preserve">最终绩效评价得分</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 </w:t>
            </w:r>
            <w:r>
              <w:rPr>
                <w:rFonts w:hint="eastAsia" w:ascii="宋体" w:hAnsi="宋体" w:eastAsia="宋体" w:cs="宋体"/>
                <w:spacing w:val="-3"/>
                <w:sz w:val="24"/>
                <w:szCs w:val="24"/>
              </w:rPr>
              <w:t xml:space="preserve">分</w:t>
            </w:r>
            <w:r>
              <w:rPr>
                <w:rFonts w:hint="eastAsia" w:ascii="宋体" w:hAnsi="宋体" w:eastAsia="宋体" w:cs="宋体"/>
                <w:sz w:val="24"/>
                <w:szCs w:val="24"/>
              </w:rPr>
            </w:r>
            <w:r/>
          </w:p>
        </w:tc>
      </w:tr>
      <w:tr>
        <w:trPr>
          <w:trHeight w:val="496"/>
        </w:trPr>
        <w:tc>
          <w:tcPr>
            <w:gridSpan w:val="4"/>
            <w:tcW w:w="9753" w:type="dxa"/>
            <w:vAlign w:val="top"/>
            <w:textDirection w:val="lrTb"/>
            <w:noWrap w:val="false"/>
          </w:tcPr>
          <w:p>
            <w:pPr>
              <w:pStyle w:val="1285"/>
              <w:ind w:left="192"/>
              <w:spacing w:before="236" w:line="192" w:lineRule="auto"/>
              <w:rPr>
                <w:rFonts w:hint="eastAsia" w:ascii="宋体" w:hAnsi="宋体" w:eastAsia="宋体" w:cs="宋体"/>
                <w:sz w:val="24"/>
                <w:szCs w:val="24"/>
              </w:rPr>
            </w:pPr>
            <w:r>
              <w:rPr>
                <w:rFonts w:hint="eastAsia" w:ascii="宋体" w:hAnsi="宋体" w:eastAsia="宋体" w:cs="宋体"/>
                <w:spacing w:val="-12"/>
                <w:sz w:val="24"/>
                <w:szCs w:val="24"/>
              </w:rPr>
              <w:t xml:space="preserve">四、评价标准与等级</w:t>
            </w:r>
            <w:r>
              <w:rPr>
                <w:rFonts w:hint="eastAsia" w:ascii="宋体" w:hAnsi="宋体" w:eastAsia="宋体" w:cs="宋体"/>
                <w:sz w:val="24"/>
                <w:szCs w:val="24"/>
              </w:rPr>
            </w:r>
            <w:r/>
          </w:p>
        </w:tc>
      </w:tr>
      <w:tr>
        <w:trPr>
          <w:trHeight w:val="2342"/>
        </w:trPr>
        <w:tc>
          <w:tcPr>
            <w:tcW w:w="1365" w:type="dxa"/>
            <w:vAlign w:val="center"/>
            <w:textDirection w:val="lrTb"/>
            <w:noWrap w:val="false"/>
          </w:tcPr>
          <w:p>
            <w:pPr>
              <w:pStyle w:val="1285"/>
              <w:ind w:left="147" w:right="191" w:hanging="9"/>
              <w:jc w:val="center"/>
              <w:spacing w:before="78" w:line="249" w:lineRule="auto"/>
              <w:rPr>
                <w:rFonts w:hint="eastAsia" w:ascii="宋体" w:hAnsi="宋体" w:eastAsia="宋体" w:cs="宋体"/>
                <w:sz w:val="24"/>
                <w:szCs w:val="24"/>
              </w:rPr>
            </w:pPr>
            <w:r>
              <w:rPr>
                <w:rFonts w:hint="eastAsia" w:ascii="宋体" w:hAnsi="宋体" w:eastAsia="宋体" w:cs="宋体"/>
                <w:spacing w:val="-17"/>
                <w:sz w:val="24"/>
                <w:szCs w:val="24"/>
              </w:rPr>
              <w:t xml:space="preserve">评价标准</w:t>
            </w:r>
            <w:r>
              <w:rPr>
                <w:rFonts w:hint="eastAsia" w:ascii="宋体" w:hAnsi="宋体" w:eastAsia="宋体" w:cs="宋体"/>
                <w:spacing w:val="-16"/>
                <w:sz w:val="24"/>
                <w:szCs w:val="24"/>
              </w:rPr>
              <w:t xml:space="preserve"> </w:t>
            </w:r>
            <w:r>
              <w:rPr>
                <w:rFonts w:hint="eastAsia" w:ascii="宋体" w:hAnsi="宋体" w:eastAsia="宋体" w:cs="宋体"/>
                <w:spacing w:val="-17"/>
                <w:sz w:val="24"/>
                <w:szCs w:val="24"/>
              </w:rPr>
              <w:t xml:space="preserve">与等级</w:t>
            </w:r>
            <w:r>
              <w:rPr>
                <w:rFonts w:hint="eastAsia" w:ascii="宋体" w:hAnsi="宋体" w:eastAsia="宋体" w:cs="宋体"/>
                <w:sz w:val="24"/>
                <w:szCs w:val="24"/>
              </w:rPr>
            </w:r>
            <w:r/>
          </w:p>
        </w:tc>
        <w:tc>
          <w:tcPr>
            <w:gridSpan w:val="3"/>
            <w:tcW w:w="8388" w:type="dxa"/>
            <w:vAlign w:val="center"/>
            <w:textDirection w:val="lrTb"/>
            <w:noWrap w:val="false"/>
          </w:tcPr>
          <w:p>
            <w:pPr>
              <w:pStyle w:val="822"/>
              <w:rPr>
                <w:rFonts w:hint="eastAsia" w:ascii="宋体" w:hAnsi="宋体" w:eastAsia="宋体" w:cs="宋体"/>
                <w:sz w:val="24"/>
                <w:szCs w:val="24"/>
              </w:rPr>
            </w:pPr>
            <w:r>
              <w:rPr>
                <w:rFonts w:hint="eastAsia" w:ascii="宋体" w:hAnsi="宋体" w:eastAsia="宋体" w:cs="宋体"/>
                <w:sz w:val="24"/>
                <w:szCs w:val="24"/>
              </w:rPr>
              <w:t xml:space="preserve">分为优、合格、不合格三个等级。得分 70 分以下为不合格</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90 分以上为优。费用结算明细表，经采购人考核后，按以下方式拨付:</w:t>
            </w:r>
            <w:r>
              <w:rPr>
                <w:rFonts w:hint="eastAsia" w:ascii="宋体" w:hAnsi="宋体" w:eastAsia="宋体" w:cs="宋体"/>
                <w:sz w:val="24"/>
                <w:szCs w:val="24"/>
              </w:rPr>
            </w:r>
            <w:r/>
          </w:p>
          <w:p>
            <w:pPr>
              <w:pStyle w:val="822"/>
              <w:rPr>
                <w:rFonts w:hint="eastAsia" w:ascii="宋体" w:hAnsi="宋体" w:eastAsia="宋体" w:cs="宋体"/>
                <w:sz w:val="24"/>
                <w:szCs w:val="24"/>
                <w:lang w:eastAsia="zh-CN"/>
              </w:rPr>
            </w:pPr>
            <w:r>
              <w:rPr>
                <w:rFonts w:hint="eastAsia" w:ascii="宋体" w:hAnsi="宋体" w:eastAsia="宋体" w:cs="宋体"/>
                <w:sz w:val="24"/>
                <w:szCs w:val="24"/>
              </w:rPr>
              <w:t xml:space="preserve">(1) 项目考核成绩在90 分以上(不含90)全额支付尾款费用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22"/>
              <w:rPr>
                <w:rFonts w:hint="eastAsia" w:ascii="宋体" w:hAnsi="宋体" w:eastAsia="宋体" w:cs="宋体"/>
                <w:sz w:val="24"/>
                <w:szCs w:val="24"/>
                <w:lang w:eastAsia="zh-CN"/>
              </w:rPr>
            </w:pPr>
            <w:r>
              <w:rPr>
                <w:rFonts w:hint="eastAsia" w:ascii="宋体" w:hAnsi="宋体" w:eastAsia="宋体" w:cs="宋体"/>
                <w:sz w:val="24"/>
                <w:szCs w:val="24"/>
              </w:rPr>
              <w:t xml:space="preserve">(2) 项目考核成绩在 90-80 分(含 90 分)之间的，支付尾款费用标准的 90%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22"/>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项目考核成绩在80-70分(含80分)之间的，支付尾款费用标准的80%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22"/>
              <w:rPr>
                <w:rFonts w:hint="eastAsia" w:ascii="宋体" w:hAnsi="宋体" w:eastAsia="宋体" w:cs="宋体"/>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项目考核成绩在 70分以下的，不支付尾款费用。</w:t>
            </w:r>
            <w:r>
              <w:rPr>
                <w:rFonts w:hint="eastAsia" w:ascii="宋体" w:hAnsi="宋体" w:eastAsia="宋体" w:cs="宋体"/>
                <w:szCs w:val="24"/>
              </w:rPr>
            </w:r>
            <w:r/>
          </w:p>
        </w:tc>
      </w:tr>
      <w:tr>
        <w:trPr>
          <w:trHeight w:val="795"/>
        </w:trPr>
        <w:tc>
          <w:tcPr>
            <w:tcW w:w="1365" w:type="dxa"/>
            <w:vAlign w:val="center"/>
            <w:textDirection w:val="lrTb"/>
            <w:noWrap w:val="false"/>
          </w:tcPr>
          <w:p>
            <w:pPr>
              <w:pStyle w:val="1285"/>
              <w:ind w:left="138"/>
              <w:jc w:val="center"/>
              <w:spacing w:before="191" w:line="218" w:lineRule="auto"/>
              <w:rPr>
                <w:rFonts w:hint="eastAsia" w:ascii="宋体" w:hAnsi="宋体" w:eastAsia="宋体" w:cs="宋体"/>
                <w:sz w:val="24"/>
                <w:szCs w:val="24"/>
              </w:rPr>
            </w:pPr>
            <w:r>
              <w:rPr>
                <w:rFonts w:hint="eastAsia" w:ascii="宋体" w:hAnsi="宋体" w:eastAsia="宋体" w:cs="宋体"/>
                <w:spacing w:val="-11"/>
                <w:sz w:val="24"/>
                <w:szCs w:val="24"/>
              </w:rPr>
              <w:t xml:space="preserve">考核组</w:t>
            </w:r>
            <w:r>
              <w:rPr>
                <w:rFonts w:hint="eastAsia" w:ascii="宋体" w:hAnsi="宋体" w:eastAsia="宋体" w:cs="宋体"/>
                <w:spacing w:val="-14"/>
                <w:sz w:val="24"/>
                <w:szCs w:val="24"/>
              </w:rPr>
              <w:t xml:space="preserve">织与实施</w:t>
            </w:r>
            <w:r>
              <w:rPr>
                <w:rFonts w:hint="eastAsia" w:ascii="宋体" w:hAnsi="宋体" w:eastAsia="宋体" w:cs="宋体"/>
                <w:sz w:val="24"/>
                <w:szCs w:val="24"/>
              </w:rPr>
            </w:r>
            <w:r/>
          </w:p>
        </w:tc>
        <w:tc>
          <w:tcPr>
            <w:gridSpan w:val="3"/>
            <w:tcW w:w="8388" w:type="dxa"/>
            <w:vAlign w:val="center"/>
            <w:textDirection w:val="lrTb"/>
            <w:noWrap w:val="false"/>
          </w:tcPr>
          <w:p>
            <w:pPr>
              <w:pStyle w:val="822"/>
              <w:rPr>
                <w:rFonts w:hint="eastAsia" w:ascii="宋体" w:hAnsi="宋体" w:eastAsia="宋体" w:cs="宋体"/>
                <w:szCs w:val="24"/>
              </w:rPr>
            </w:pPr>
            <w:r>
              <w:rPr>
                <w:rFonts w:hint="eastAsia" w:ascii="宋体" w:hAnsi="宋体" w:eastAsia="宋体" w:cs="宋体"/>
                <w:sz w:val="24"/>
                <w:szCs w:val="24"/>
              </w:rPr>
              <w:t xml:space="preserve">采购人负责组织实施，服务期满对项目进行考核评分，≤70分甲方有权利拒绝支付尾款。</w:t>
            </w:r>
            <w:r>
              <w:rPr>
                <w:rFonts w:hint="eastAsia" w:ascii="宋体" w:hAnsi="宋体" w:eastAsia="宋体" w:cs="宋体"/>
                <w:szCs w:val="24"/>
              </w:rPr>
            </w:r>
            <w:r/>
          </w:p>
        </w:tc>
      </w:tr>
    </w:tbl>
    <w:p>
      <w:pPr>
        <w:pStyle w:val="822"/>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822"/>
        <w:jc w:val="center"/>
        <w:keepLines/>
        <w:keepNext/>
        <w:pageBreakBefore/>
        <w:rPr>
          <w:b/>
          <w:color w:val="000000"/>
          <w:sz w:val="44"/>
          <w:szCs w:val="44"/>
          <w:highlight w:val="none"/>
        </w:rPr>
        <w:outlineLvl w:val="0"/>
      </w:pPr>
      <w:r/>
      <w:bookmarkEnd w:id="131"/>
      <w:r/>
      <w:bookmarkEnd w:id="132"/>
      <w:r/>
      <w:bookmarkEnd w:id="133"/>
      <w:r/>
      <w:bookmarkStart w:id="137" w:name="_Toc81575207"/>
      <w:r/>
      <w:bookmarkStart w:id="138" w:name="_Toc9003"/>
      <w:r/>
      <w:bookmarkStart w:id="139" w:name="_Toc12937"/>
      <w:r/>
      <w:bookmarkStart w:id="140" w:name="_Toc22853"/>
      <w:r/>
      <w:bookmarkStart w:id="141" w:name="_Toc81575170"/>
      <w:r/>
      <w:bookmarkStart w:id="142" w:name="_Toc19649"/>
      <w:r>
        <w:rPr>
          <w:rFonts w:hint="eastAsia"/>
          <w:b/>
          <w:color w:val="000000"/>
          <w:sz w:val="44"/>
          <w:szCs w:val="44"/>
          <w:highlight w:val="none"/>
        </w:rPr>
        <w:t xml:space="preserve">第六章  投标文件格式</w:t>
      </w:r>
      <w:bookmarkEnd w:id="137"/>
      <w:r/>
      <w:bookmarkEnd w:id="138"/>
      <w:r/>
      <w:bookmarkEnd w:id="139"/>
      <w:r/>
      <w:bookmarkEnd w:id="140"/>
      <w:r/>
      <w:bookmarkEnd w:id="141"/>
      <w:r/>
      <w:bookmarkEnd w:id="142"/>
      <w:r>
        <w:rPr>
          <w:b/>
          <w:color w:val="000000"/>
          <w:sz w:val="44"/>
          <w:szCs w:val="44"/>
          <w:highlight w:val="none"/>
        </w:rPr>
      </w:r>
      <w:r/>
    </w:p>
    <w:p>
      <w:pPr>
        <w:pStyle w:val="822"/>
        <w:rPr>
          <w:color w:val="000000"/>
          <w:highlight w:val="none"/>
        </w:rPr>
      </w:pPr>
      <w:r/>
      <w:bookmarkStart w:id="143" w:name="EB819316f773b24a75aef829f9b72900c0"/>
      <w:r>
        <w:rPr>
          <w:color w:val="000000"/>
          <w:highlight w:val="none"/>
        </w:rPr>
      </w:r>
      <w:r/>
    </w:p>
    <w:p>
      <w:pPr>
        <w:pStyle w:val="822"/>
        <w:rPr>
          <w:rFonts w:ascii="Times New Roman" w:hAnsi="Times New Roman"/>
          <w:b/>
          <w:color w:val="000000"/>
          <w:sz w:val="72"/>
          <w:highlight w:val="none"/>
        </w:rPr>
      </w:pPr>
      <w:r/>
      <w:bookmarkStart w:id="144" w:name="_Toc15716"/>
      <w:r>
        <w:rPr>
          <w:rFonts w:ascii="Times New Roman" w:hAnsi="Times New Roman"/>
          <w:b/>
          <w:color w:val="000000"/>
          <w:sz w:val="72"/>
          <w:highlight w:val="none"/>
        </w:rPr>
      </w:r>
      <w:r/>
    </w:p>
    <w:p>
      <w:pPr>
        <w:pStyle w:val="822"/>
        <w:rPr>
          <w:rFonts w:ascii="Times New Roman" w:hAnsi="Times New Roman"/>
          <w:b/>
          <w:color w:val="000000"/>
          <w:sz w:val="72"/>
          <w:highlight w:val="none"/>
        </w:rPr>
      </w:pPr>
      <w:r>
        <w:rPr>
          <w:rFonts w:ascii="Times New Roman" w:hAnsi="Times New Roman"/>
          <w:b/>
          <w:color w:val="000000"/>
          <w:sz w:val="72"/>
          <w:highlight w:val="none"/>
        </w:rPr>
      </w:r>
      <w:r/>
    </w:p>
    <w:p>
      <w:pPr>
        <w:pStyle w:val="822"/>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2"/>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2"/>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2"/>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2"/>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rPr>
      </w:r>
      <w:r/>
    </w:p>
    <w:p>
      <w:pPr>
        <w:pStyle w:val="822"/>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u w:val="single"/>
        </w:rPr>
      </w:r>
      <w:r/>
    </w:p>
    <w:p>
      <w:pPr>
        <w:pStyle w:val="822"/>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rPr>
          <w:rFonts w:ascii="Times New Roman" w:hAnsi="Times New Roman"/>
          <w:b/>
          <w:color w:val="000000"/>
          <w:sz w:val="36"/>
          <w:highlight w:val="none"/>
          <w:u w:val="single"/>
        </w:rPr>
      </w:r>
      <w:r/>
    </w:p>
    <w:p>
      <w:pPr>
        <w:pStyle w:val="822"/>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4"/>
      <w:r>
        <w:rPr>
          <w:rFonts w:ascii="Times New Roman" w:hAnsi="Times New Roman"/>
          <w:b/>
          <w:color w:val="000000"/>
          <w:sz w:val="36"/>
          <w:highlight w:val="none"/>
          <w:u w:val="singl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rPr>
          <w:rFonts w:ascii="宋体" w:hAnsi="宋体" w:eastAsia="宋体" w:cs="宋体"/>
          <w:color w:val="000000"/>
          <w:highlight w:val="none"/>
        </w:rPr>
      </w:r>
      <w:r/>
    </w:p>
    <w:p>
      <w:pPr>
        <w:pStyle w:val="1106"/>
        <w:rPr>
          <w:rFonts w:ascii="宋体" w:hAnsi="宋体" w:eastAsia="宋体" w:cs="宋体"/>
          <w:color w:val="000000"/>
          <w:highlight w:val="none"/>
        </w:rPr>
      </w:pPr>
      <w:r/>
      <w:bookmarkEnd w:id="143"/>
      <w:r>
        <w:rPr>
          <w:rFonts w:ascii="宋体" w:hAnsi="宋体" w:eastAsia="宋体" w:cs="宋体"/>
          <w:color w:val="000000"/>
          <w:highlight w:val="none"/>
        </w:rPr>
      </w:r>
      <w:r/>
    </w:p>
    <w:p>
      <w:pPr>
        <w:pStyle w:val="1106"/>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6"/>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106"/>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822"/>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rPr>
          <w:rFonts w:hint="eastAsia" w:ascii="Times New Roman" w:hAnsi="Times New Roman"/>
          <w:color w:val="000000"/>
          <w:sz w:val="28"/>
          <w:szCs w:val="28"/>
          <w:highlight w:val="none"/>
        </w:rPr>
      </w:r>
      <w:r/>
    </w:p>
    <w:p>
      <w:pPr>
        <w:pStyle w:val="822"/>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rPr>
          <w:rFonts w:hint="eastAsia" w:ascii="Times New Roman" w:hAnsi="Times New Roman"/>
          <w:color w:val="000000"/>
          <w:sz w:val="28"/>
          <w:szCs w:val="28"/>
          <w:highlight w:val="none"/>
        </w:rPr>
      </w:r>
      <w:r/>
    </w:p>
    <w:p>
      <w:pPr>
        <w:pStyle w:val="822"/>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rPr>
          <w:rFonts w:hint="eastAsia" w:ascii="Times New Roman" w:hAnsi="Times New Roman"/>
          <w:color w:val="000000"/>
          <w:sz w:val="28"/>
          <w:szCs w:val="28"/>
          <w:highlight w:val="none"/>
        </w:rPr>
      </w:r>
      <w:r/>
    </w:p>
    <w:p>
      <w:pPr>
        <w:pStyle w:val="822"/>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rPr>
          <w:rFonts w:ascii="Times New Roman" w:hAnsi="Times New Roman"/>
          <w:color w:val="000000"/>
          <w:sz w:val="28"/>
          <w:szCs w:val="28"/>
          <w:highlight w:val="none"/>
        </w:rPr>
      </w:r>
      <w:r/>
    </w:p>
    <w:p>
      <w:pPr>
        <w:pStyle w:val="822"/>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rPr>
          <w:rFonts w:hint="eastAsia" w:ascii="Times New Roman" w:hAnsi="Times New Roman"/>
          <w:color w:val="000000"/>
          <w:sz w:val="28"/>
          <w:szCs w:val="28"/>
          <w:highlight w:val="none"/>
        </w:rPr>
      </w:r>
      <w:r/>
    </w:p>
    <w:p>
      <w:pPr>
        <w:pStyle w:val="822"/>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rPr>
          <w:rFonts w:ascii="Times New Roman" w:hAnsi="Times New Roman"/>
          <w:color w:val="000000"/>
          <w:sz w:val="28"/>
          <w:szCs w:val="28"/>
          <w:highlight w:val="none"/>
        </w:rPr>
      </w:r>
      <w:r/>
    </w:p>
    <w:p>
      <w:pPr>
        <w:pStyle w:val="822"/>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rPr>
          <w:rFonts w:hint="eastAsia" w:ascii="Times New Roman" w:hAnsi="Times New Roman"/>
          <w:color w:val="000000"/>
          <w:sz w:val="28"/>
          <w:szCs w:val="28"/>
          <w:highlight w:val="none"/>
        </w:rPr>
      </w:r>
      <w:r/>
    </w:p>
    <w:p>
      <w:pPr>
        <w:pStyle w:val="822"/>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rPr>
          <w:rFonts w:ascii="宋体" w:hAnsi="宋体" w:cs="宋体"/>
          <w:color w:val="000000"/>
          <w:sz w:val="28"/>
          <w:szCs w:val="28"/>
          <w:highlight w:val="none"/>
        </w:rPr>
      </w:r>
      <w:r/>
    </w:p>
    <w:p>
      <w:pPr>
        <w:pStyle w:val="822"/>
        <w:rPr>
          <w:color w:val="000000"/>
          <w:highlight w:val="none"/>
        </w:rPr>
      </w:pPr>
      <w:r/>
      <w:bookmarkStart w:id="145" w:name="_Toc20577"/>
      <w:r/>
      <w:bookmarkStart w:id="146" w:name="_Toc26005"/>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rFonts w:hint="eastAsia"/>
          <w:color w:val="000000"/>
          <w:highlight w:val="none"/>
        </w:rPr>
      </w:pPr>
      <w:r>
        <w:rPr>
          <w:rFonts w:hint="eastAsia"/>
          <w:color w:val="000000"/>
          <w:highlight w:val="none"/>
        </w:rPr>
      </w:r>
      <w:r/>
    </w:p>
    <w:p>
      <w:pPr>
        <w:pStyle w:val="1116"/>
        <w:rPr>
          <w:b w:val="0"/>
          <w:bCs/>
          <w:color w:val="000000"/>
          <w:highlight w:val="none"/>
        </w:rPr>
        <w:outlineLvl w:val="1"/>
      </w:pPr>
      <w:r/>
      <w:bookmarkStart w:id="14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45"/>
      <w:r/>
      <w:bookmarkEnd w:id="146"/>
      <w:r/>
      <w:bookmarkEnd w:id="147"/>
      <w:r>
        <w:rPr>
          <w:b w:val="0"/>
          <w:bCs/>
          <w:color w:val="000000"/>
          <w:highlight w:val="none"/>
        </w:rPr>
      </w:r>
      <w:r/>
    </w:p>
    <w:p>
      <w:pPr>
        <w:pStyle w:val="1117"/>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hint="eastAsia" w:ascii="方正小标宋_GBK" w:eastAsia="方正小标宋_GBK"/>
          <w:bCs/>
          <w:color w:val="000000"/>
          <w:sz w:val="32"/>
          <w:szCs w:val="32"/>
          <w:highlight w:val="none"/>
        </w:rPr>
      </w:r>
      <w:r/>
    </w:p>
    <w:p>
      <w:pPr>
        <w:pStyle w:val="1117"/>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117"/>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rPr>
          <w:rFonts w:ascii="宋体" w:hAnsi="宋体"/>
          <w:color w:val="000000"/>
          <w:sz w:val="24"/>
          <w:szCs w:val="24"/>
          <w:highlight w:val="none"/>
        </w:rPr>
      </w:r>
      <w:r/>
    </w:p>
    <w:p>
      <w:pPr>
        <w:pStyle w:val="1117"/>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7"/>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117"/>
        <w:ind w:firstLine="480"/>
        <w:rPr>
          <w:rFonts w:ascii="宋体" w:hAnsi="宋体"/>
          <w:color w:val="000000"/>
          <w:sz w:val="24"/>
          <w:szCs w:val="24"/>
          <w:highlight w:val="none"/>
        </w:rPr>
      </w:pPr>
      <w:r>
        <w:rPr>
          <w:rFonts w:ascii="宋体" w:hAnsi="宋体"/>
          <w:color w:val="000000"/>
          <w:sz w:val="24"/>
          <w:szCs w:val="24"/>
          <w:highlight w:val="none"/>
        </w:rPr>
      </w:r>
      <w:r/>
    </w:p>
    <w:p>
      <w:pPr>
        <w:pStyle w:val="1117"/>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rFonts w:hint="eastAsia"/>
          <w:color w:val="000000"/>
          <w:highlight w:val="none"/>
        </w:rPr>
      </w:pPr>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1116"/>
        <w:rPr>
          <w:rFonts w:hint="eastAsia"/>
          <w:b w:val="0"/>
          <w:bCs/>
          <w:color w:val="000000"/>
          <w:highlight w:val="none"/>
        </w:rPr>
        <w:outlineLvl w:val="1"/>
      </w:pPr>
      <w:r/>
      <w:bookmarkStart w:id="148" w:name="_Toc15099"/>
      <w:r>
        <w:rPr>
          <w:rFonts w:hint="eastAsia"/>
          <w:b w:val="0"/>
          <w:bCs/>
          <w:color w:val="000000"/>
          <w:highlight w:val="none"/>
        </w:rPr>
        <w:t xml:space="preserve">二、投标人资质</w:t>
      </w:r>
      <w:bookmarkEnd w:id="148"/>
      <w:r>
        <w:rPr>
          <w:rFonts w:hint="eastAsia"/>
          <w:b w:val="0"/>
          <w:bCs/>
          <w:color w:val="000000"/>
          <w:highlight w:val="none"/>
        </w:rPr>
      </w:r>
      <w:r/>
    </w:p>
    <w:p>
      <w:pPr>
        <w:pStyle w:val="822"/>
        <w:rPr>
          <w:rFonts w:hint="eastAsia"/>
          <w:color w:val="000000"/>
          <w:highlight w:val="none"/>
        </w:rPr>
      </w:pPr>
      <w:r>
        <w:rPr>
          <w:rFonts w:hint="eastAsia"/>
          <w:color w:val="000000"/>
          <w:highlight w:val="none"/>
        </w:rPr>
        <w:t xml:space="preserve">按招标文件要求提供相应资质证书</w:t>
      </w:r>
      <w:r>
        <w:rPr>
          <w:rFonts w:hint="eastAsia"/>
          <w:color w:val="000000"/>
          <w:highlight w:val="none"/>
        </w:rPr>
      </w:r>
      <w:r/>
    </w:p>
    <w:p>
      <w:pPr>
        <w:pStyle w:val="822"/>
        <w:rPr>
          <w:color w:val="000000"/>
          <w:highlight w:val="none"/>
        </w:rPr>
        <w:outlineLvl w:val="1"/>
      </w:pPr>
      <w:r>
        <w:rPr>
          <w:rFonts w:hint="eastAsia"/>
          <w:color w:val="000000"/>
          <w:highlight w:val="none"/>
        </w:rPr>
        <w:br w:type="page" w:clear="all"/>
      </w:r>
      <w:bookmarkStart w:id="149" w:name="_Toc3680"/>
      <w:r/>
      <w:bookmarkStart w:id="150" w:name="_Toc29506"/>
      <w:r/>
      <w:bookmarkStart w:id="151" w:name="_Toc27409"/>
      <w:r>
        <w:rPr>
          <w:rFonts w:hint="eastAsia" w:ascii="黑体" w:hAnsi="黑体" w:eastAsia="黑体" w:cs="黑体"/>
          <w:bCs/>
          <w:color w:val="000000"/>
          <w:sz w:val="32"/>
          <w:szCs w:val="24"/>
          <w:highlight w:val="none"/>
        </w:rPr>
        <w:t xml:space="preserve">三、</w:t>
      </w:r>
      <w:bookmarkEnd w:id="149"/>
      <w:r/>
      <w:bookmarkEnd w:id="150"/>
      <w:r>
        <w:rPr>
          <w:rFonts w:hint="eastAsia" w:ascii="黑体" w:hAnsi="黑体" w:eastAsia="黑体" w:cs="黑体"/>
          <w:bCs/>
          <w:color w:val="000000"/>
          <w:sz w:val="32"/>
          <w:szCs w:val="24"/>
          <w:highlight w:val="none"/>
        </w:rPr>
        <w:t xml:space="preserve">法人授权书</w:t>
      </w:r>
      <w:bookmarkEnd w:id="151"/>
      <w:r>
        <w:rPr>
          <w:color w:val="000000"/>
          <w:highlight w:val="none"/>
        </w:rPr>
      </w:r>
      <w:r/>
    </w:p>
    <w:p>
      <w:pPr>
        <w:pStyle w:val="1117"/>
        <w:jc w:val="center"/>
        <w:rPr>
          <w:rFonts w:ascii="方正小标宋_GBK" w:eastAsia="方正小标宋_GBK"/>
          <w:bCs/>
          <w:color w:val="000000"/>
          <w:sz w:val="32"/>
          <w:szCs w:val="32"/>
          <w:highlight w:val="none"/>
        </w:rPr>
      </w:pPr>
      <w:r/>
      <w:bookmarkStart w:id="152" w:name="OLE_LINK6"/>
      <w:r>
        <w:rPr>
          <w:rFonts w:hint="eastAsia" w:ascii="方正小标宋_GBK" w:eastAsia="方正小标宋_GBK"/>
          <w:bCs/>
          <w:color w:val="000000"/>
          <w:sz w:val="32"/>
          <w:szCs w:val="32"/>
          <w:highlight w:val="none"/>
        </w:rPr>
        <w:t xml:space="preserve">法人授权书</w:t>
      </w:r>
      <w:r>
        <w:rPr>
          <w:rFonts w:ascii="方正小标宋_GBK" w:eastAsia="方正小标宋_GBK"/>
          <w:bCs/>
          <w:color w:val="000000"/>
          <w:sz w:val="32"/>
          <w:szCs w:val="32"/>
          <w:highlight w:val="none"/>
        </w:rPr>
      </w:r>
      <w:r/>
    </w:p>
    <w:p>
      <w:pPr>
        <w:pStyle w:val="1237"/>
        <w:ind w:firstLine="482"/>
        <w:spacing w:line="480" w:lineRule="exact"/>
        <w:tabs>
          <w:tab w:val="left" w:pos="360" w:leader="none"/>
        </w:tabs>
        <w:rPr>
          <w:rFonts w:hint="eastAsia" w:ascii="宋体" w:hAnsi="宋体"/>
          <w:color w:val="000000"/>
          <w:sz w:val="24"/>
          <w:szCs w:val="24"/>
          <w:highlight w:val="none"/>
        </w:rPr>
      </w:pPr>
      <w:r/>
      <w:bookmarkEnd w:id="152"/>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rPr>
          <w:rFonts w:hint="eastAsia" w:ascii="宋体" w:hAnsi="宋体"/>
          <w:color w:val="000000"/>
          <w:sz w:val="24"/>
          <w:szCs w:val="24"/>
          <w:highlight w:val="none"/>
        </w:rPr>
      </w:r>
      <w:r/>
    </w:p>
    <w:p>
      <w:pPr>
        <w:pStyle w:val="1237"/>
        <w:ind w:firstLine="482"/>
        <w:spacing w:line="480" w:lineRule="exact"/>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ascii="宋体" w:hAnsi="宋体"/>
          <w:color w:val="000000"/>
          <w:sz w:val="24"/>
          <w:szCs w:val="24"/>
          <w:highlight w:val="none"/>
        </w:rPr>
      </w:r>
      <w:r/>
    </w:p>
    <w:p>
      <w:pPr>
        <w:pStyle w:val="1237"/>
        <w:ind w:firstLine="482"/>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123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23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rPr>
          <w:rFonts w:ascii="宋体" w:hAnsi="宋体"/>
          <w:color w:val="000000"/>
          <w:sz w:val="24"/>
          <w:szCs w:val="24"/>
          <w:highlight w:val="none"/>
        </w:rPr>
      </w:r>
      <w:r/>
    </w:p>
    <w:p>
      <w:pPr>
        <w:pStyle w:val="123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237"/>
        <w:ind w:firstLine="482"/>
        <w:spacing w:line="480" w:lineRule="exact"/>
        <w:tabs>
          <w:tab w:val="left" w:pos="360" w:leader="none"/>
        </w:tabs>
        <w:rPr>
          <w:rFonts w:hint="eastAsia" w:ascii="宋体" w:hAnsi="宋体"/>
          <w:color w:val="000000"/>
          <w:sz w:val="24"/>
          <w:szCs w:val="24"/>
          <w:highlight w:val="none"/>
        </w:rPr>
      </w:pPr>
      <w:r>
        <w:rPr>
          <w:rFonts w:hint="eastAsia"/>
          <w:color w:val="000000"/>
          <w:sz w:val="24"/>
          <w:szCs w:val="24"/>
          <w:highlight w:val="none"/>
        </w:rPr>
        <w:t xml:space="preserve">日期：</w:t>
      </w:r>
      <w:bookmarkStart w:id="153" w:name="_格式3__银行出具的资信证明"/>
      <w:r/>
      <w:bookmarkEnd w:id="153"/>
      <w:r/>
      <w:bookmarkStart w:id="154" w:name="_Hlt26955070"/>
      <w:r/>
      <w:bookmarkEnd w:id="154"/>
      <w:r/>
      <w:bookmarkStart w:id="155" w:name="_Hlt26671380"/>
      <w:r/>
      <w:bookmarkEnd w:id="155"/>
      <w:r>
        <w:rPr>
          <w:rFonts w:hint="eastAsia"/>
          <w:color w:val="000000"/>
          <w:sz w:val="24"/>
          <w:szCs w:val="24"/>
          <w:highlight w:val="none"/>
          <w:u w:val="single"/>
        </w:rPr>
        <w:t xml:space="preserve">                                         </w:t>
      </w:r>
      <w:r>
        <w:rPr>
          <w:rFonts w:hint="eastAsia" w:ascii="宋体" w:hAnsi="宋体"/>
          <w:color w:val="000000"/>
          <w:sz w:val="24"/>
          <w:szCs w:val="24"/>
          <w:highlight w:val="none"/>
        </w:rPr>
      </w:r>
      <w:r/>
    </w:p>
    <w:p>
      <w:pPr>
        <w:pStyle w:val="1119"/>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2"/>
        <w:rPr>
          <w:color w:val="000000"/>
          <w:highlight w:val="none"/>
        </w:rPr>
        <w:outlineLvl w:val="1"/>
      </w:pPr>
      <w:r>
        <w:rPr>
          <w:color w:val="000000"/>
          <w:highlight w:val="none"/>
        </w:rPr>
        <w:br w:type="page" w:clear="all"/>
      </w:r>
      <w:bookmarkStart w:id="156" w:name="_Toc27199"/>
      <w:r/>
      <w:bookmarkStart w:id="157" w:name="_Toc30543"/>
      <w:r/>
      <w:bookmarkStart w:id="158" w:name="_Toc13550"/>
      <w:r>
        <w:rPr>
          <w:rFonts w:hint="eastAsia"/>
          <w:b w:val="0"/>
          <w:bCs/>
          <w:color w:val="000000"/>
          <w:highlight w:val="none"/>
        </w:rPr>
        <w:t xml:space="preserve">四</w:t>
      </w:r>
      <w:r>
        <w:rPr>
          <w:b w:val="0"/>
          <w:bCs/>
          <w:color w:val="000000"/>
          <w:highlight w:val="none"/>
        </w:rPr>
        <w:t xml:space="preserve">、开标一览表</w:t>
      </w:r>
      <w:bookmarkEnd w:id="156"/>
      <w:r/>
      <w:bookmarkEnd w:id="157"/>
      <w:r/>
      <w:bookmarkEnd w:id="158"/>
      <w:r>
        <w:rPr>
          <w:color w:val="000000"/>
          <w:highlight w:val="none"/>
        </w:rPr>
      </w:r>
      <w:r/>
    </w:p>
    <w:p>
      <w:pPr>
        <w:pStyle w:val="11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3"/>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82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hint="eastAsia" w:ascii="宋体" w:hAnsi="宋体" w:cs="宋体"/>
          <w:color w:val="000000"/>
          <w:sz w:val="24"/>
          <w:szCs w:val="24"/>
          <w:highlight w:val="none"/>
        </w:rPr>
      </w:r>
      <w:r/>
    </w:p>
    <w:p>
      <w:pPr>
        <w:pStyle w:val="82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82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7"/>
          <w:rFonts w:ascii="宋体" w:hAnsi="宋体" w:eastAsia="宋体" w:cs="宋体"/>
          <w:sz w:val="24"/>
          <w:szCs w:val="24"/>
        </w:rPr>
        <w:t xml:space="preserve">分包号</w:t>
      </w:r>
      <w:r>
        <w:rPr>
          <w:rFonts w:ascii="宋体" w:hAnsi="宋体" w:eastAsia="宋体" w:cs="宋体"/>
          <w:sz w:val="24"/>
          <w:szCs w:val="24"/>
        </w:rPr>
        <w:t xml:space="preserve"> </w:t>
      </w:r>
      <w:r>
        <w:rPr>
          <w:rFonts w:hint="eastAsia" w:ascii="宋体" w:hAnsi="宋体" w:cs="宋体"/>
          <w:color w:val="000000"/>
          <w:sz w:val="24"/>
          <w:szCs w:val="24"/>
          <w:highlight w:val="none"/>
        </w:rPr>
      </w:r>
      <w:r/>
    </w:p>
    <w:tbl>
      <w:tblPr>
        <w:tblStyle w:val="9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00"/>
      </w:tblGrid>
      <w:tr>
        <w:trPr/>
        <w:tc>
          <w:tcPr>
            <w:tcW w:w="9400" w:type="dxa"/>
            <w:vAlign w:val="top"/>
            <w:textDirection w:val="lrTb"/>
            <w:noWrap w:val="false"/>
          </w:tcPr>
          <w:p>
            <w:pPr>
              <w:pStyle w:val="822"/>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投标单价</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822"/>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rPr>
              <w:t xml:space="preserve">（人民币：元</w:t>
            </w:r>
            <w:r>
              <w:rPr>
                <w:rFonts w:hint="eastAsia" w:ascii="宋体" w:hAnsi="宋体" w:eastAsia="宋体" w:cs="宋体"/>
                <w:sz w:val="24"/>
                <w:szCs w:val="24"/>
                <w:lang w:val="en-US" w:eastAsia="zh-CN"/>
              </w:rPr>
              <w:t xml:space="preserve">/亩</w:t>
            </w:r>
            <w:r>
              <w:rPr>
                <w:rFonts w:ascii="宋体" w:hAnsi="宋体" w:eastAsia="宋体" w:cs="宋体"/>
                <w:sz w:val="24"/>
                <w:szCs w:val="24"/>
              </w:rPr>
              <w:t xml:space="preserve">）</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822"/>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 xml:space="preserve">总价（大写）：</w:t>
            </w:r>
            <w:r>
              <w:rPr>
                <w:rStyle w:val="1187"/>
                <w:rFonts w:ascii="宋体" w:hAnsi="宋体" w:eastAsia="宋体" w:cs="宋体"/>
                <w:sz w:val="24"/>
                <w:szCs w:val="24"/>
              </w:rPr>
              <w:t xml:space="preserve">金额大写</w:t>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（人民币：</w:t>
            </w:r>
            <w:r>
              <w:rPr>
                <w:rFonts w:ascii="宋体" w:hAnsi="宋体" w:eastAsia="宋体" w:cs="宋体"/>
                <w:sz w:val="24"/>
                <w:szCs w:val="24"/>
              </w:rPr>
              <w:t xml:space="preserve">元</w:t>
            </w:r>
            <w:r>
              <w:rPr>
                <w:rFonts w:hint="eastAsia" w:ascii="宋体" w:hAnsi="宋体" w:eastAsia="宋体" w:cs="宋体"/>
                <w:sz w:val="24"/>
                <w:szCs w:val="24"/>
                <w:lang w:val="en-US" w:eastAsia="zh-CN"/>
              </w:rPr>
              <w:t xml:space="preserve">/亩</w:t>
            </w:r>
            <w:r>
              <w:rPr>
                <w:rFonts w:ascii="宋体" w:hAnsi="宋体" w:eastAsia="宋体" w:cs="宋体"/>
                <w:sz w:val="24"/>
                <w:szCs w:val="24"/>
              </w:rPr>
              <w:t xml:space="preserve">）</w:t>
            </w:r>
            <w:r>
              <w:rPr>
                <w:rFonts w:hint="eastAsia" w:ascii="宋体" w:hAnsi="宋体" w:cs="宋体"/>
                <w:color w:val="000000"/>
                <w:sz w:val="24"/>
                <w:szCs w:val="24"/>
                <w:highlight w:val="none"/>
                <w:vertAlign w:val="baseline"/>
              </w:rPr>
            </w:r>
            <w:r/>
          </w:p>
        </w:tc>
      </w:tr>
    </w:tbl>
    <w:p>
      <w:pPr>
        <w:pStyle w:val="822"/>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22"/>
        <w:rPr>
          <w:rFonts w:hint="eastAsia"/>
          <w:color w:val="000000"/>
          <w:highlight w:val="none"/>
        </w:rPr>
      </w:pPr>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822"/>
        <w:rPr>
          <w:rFonts w:hint="eastAsia"/>
          <w:color w:val="000000"/>
          <w:highlight w:val="none"/>
        </w:rPr>
      </w:pPr>
      <w:r>
        <w:rPr>
          <w:rFonts w:hint="eastAsia"/>
          <w:color w:val="000000"/>
          <w:highlight w:val="none"/>
        </w:rPr>
      </w:r>
      <w:r/>
    </w:p>
    <w:p>
      <w:pPr>
        <w:pStyle w:val="822"/>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5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59"/>
      <w:r>
        <w:rPr>
          <w:rFonts w:ascii="宋体" w:hAnsi="宋体" w:cs="宋体"/>
          <w:color w:val="000000"/>
          <w:sz w:val="24"/>
          <w:highlight w:val="none"/>
        </w:rPr>
      </w:r>
      <w:r/>
    </w:p>
    <w:p>
      <w:pPr>
        <w:pStyle w:val="1125"/>
        <w:rPr>
          <w:rFonts w:hint="eastAsia"/>
          <w:color w:val="000000"/>
          <w:highlight w:val="none"/>
        </w:rPr>
        <w:outlineLvl w:val="1"/>
      </w:pPr>
      <w:r>
        <w:rPr>
          <w:color w:val="000000"/>
          <w:highlight w:val="none"/>
        </w:rPr>
        <w:br w:type="page" w:clear="all"/>
      </w:r>
      <w:bookmarkStart w:id="160" w:name="_Toc26543"/>
      <w:r/>
      <w:bookmarkStart w:id="161" w:name="_Toc956"/>
      <w:r/>
      <w:bookmarkStart w:id="162" w:name="_Toc12614"/>
      <w:r>
        <w:rPr>
          <w:rFonts w:hint="eastAsia"/>
          <w:b w:val="0"/>
          <w:bCs/>
          <w:color w:val="000000"/>
          <w:highlight w:val="none"/>
        </w:rPr>
        <w:t xml:space="preserve">五</w:t>
      </w:r>
      <w:r>
        <w:rPr>
          <w:b w:val="0"/>
          <w:bCs/>
          <w:color w:val="000000"/>
          <w:highlight w:val="none"/>
        </w:rPr>
        <w:t xml:space="preserve">、</w:t>
      </w:r>
      <w:bookmarkEnd w:id="160"/>
      <w:r/>
      <w:bookmarkEnd w:id="161"/>
      <w:r>
        <w:rPr>
          <w:rFonts w:hint="eastAsia"/>
          <w:b w:val="0"/>
          <w:bCs/>
          <w:color w:val="000000"/>
          <w:highlight w:val="none"/>
        </w:rPr>
        <w:t xml:space="preserve">分项报价表</w:t>
      </w:r>
      <w:bookmarkEnd w:id="162"/>
      <w:r>
        <w:rPr>
          <w:rFonts w:hint="eastAsia"/>
          <w:color w:val="000000"/>
          <w:highlight w:val="none"/>
        </w:rPr>
      </w:r>
      <w:r/>
    </w:p>
    <w:p>
      <w:pPr>
        <w:pStyle w:val="111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1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p>
      <w:pPr>
        <w:pStyle w:val="111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w:t>
      </w:r>
      <w:r>
        <w:rPr>
          <w:rFonts w:hint="eastAsia" w:ascii="方正小标宋_GBK" w:eastAsia="方正小标宋_GBK"/>
          <w:bCs/>
          <w:color w:val="000000"/>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bookmarkStart w:id="163" w:name="_Toc17418"/>
            <w:r>
              <w:rPr>
                <w:rFonts w:hint="eastAsia" w:ascii="宋体" w:hAnsi="宋体"/>
                <w:color w:val="000000"/>
                <w:sz w:val="28"/>
                <w:szCs w:val="28"/>
                <w:highlight w:val="none"/>
              </w:rPr>
              <w:t xml:space="preserve">序号</w:t>
            </w:r>
            <w:r>
              <w:rPr>
                <w:rFonts w:hint="eastAsia" w:ascii="宋体" w:hAnsi="宋体"/>
                <w:color w:val="000000"/>
                <w:sz w:val="28"/>
                <w:szCs w:val="28"/>
                <w:highlight w:val="none"/>
              </w:rPr>
            </w:r>
            <w:r/>
          </w:p>
        </w:tc>
        <w:tc>
          <w:tcPr>
            <w:gridSpan w:val="2"/>
            <w:tcW w:w="3673"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rPr>
                <w:rFonts w:hint="eastAsia" w:ascii="宋体" w:hAnsi="宋体"/>
                <w:color w:val="000000"/>
                <w:sz w:val="28"/>
                <w:szCs w:val="28"/>
                <w:highlight w:val="none"/>
              </w:rPr>
            </w:r>
            <w:r/>
          </w:p>
        </w:tc>
        <w:tc>
          <w:tcPr>
            <w:tcW w:w="1134"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rPr>
                <w:rFonts w:hint="eastAsia" w:ascii="宋体" w:hAnsi="宋体"/>
                <w:color w:val="000000"/>
                <w:sz w:val="28"/>
                <w:szCs w:val="28"/>
                <w:highlight w:val="none"/>
              </w:rPr>
            </w:r>
            <w:r/>
          </w:p>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2"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数量</w:t>
            </w:r>
            <w:r>
              <w:rPr>
                <w:rFonts w:hint="eastAsia" w:ascii="宋体" w:hAnsi="宋体"/>
                <w:color w:val="000000"/>
                <w:sz w:val="28"/>
                <w:szCs w:val="28"/>
                <w:highlight w:val="none"/>
              </w:rPr>
            </w:r>
            <w:r/>
          </w:p>
        </w:tc>
        <w:tc>
          <w:tcPr>
            <w:tcW w:w="1541"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rPr>
                <w:rFonts w:hint="eastAsia" w:ascii="宋体" w:hAnsi="宋体"/>
                <w:color w:val="000000"/>
                <w:sz w:val="28"/>
                <w:szCs w:val="28"/>
                <w:highlight w:val="none"/>
              </w:rPr>
            </w:r>
            <w:r/>
          </w:p>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1" w:type="dxa"/>
            <w:vAlign w:val="center"/>
            <w:textDirection w:val="lrTb"/>
            <w:noWrap w:val="false"/>
          </w:tcPr>
          <w:p>
            <w:pPr>
              <w:pStyle w:val="121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rPr>
                <w:rFonts w:hint="eastAsia" w:ascii="宋体" w:hAnsi="宋体"/>
                <w:color w:val="000000"/>
                <w:sz w:val="28"/>
                <w:szCs w:val="28"/>
                <w:highlight w:val="none"/>
              </w:rPr>
            </w:r>
            <w:r/>
          </w:p>
        </w:tc>
      </w:tr>
      <w:tr>
        <w:trPr>
          <w:cantSplit/>
          <w:trHeight w:val="482"/>
        </w:trPr>
        <w:tc>
          <w:tcPr>
            <w:tcW w:w="654" w:type="dxa"/>
            <w:vAlign w:val="top"/>
            <w:textDirection w:val="lrTb"/>
            <w:noWrap w:val="false"/>
          </w:tcPr>
          <w:p>
            <w:pPr>
              <w:pStyle w:val="1214"/>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val="false"/>
          </w:tcPr>
          <w:p>
            <w:pPr>
              <w:pStyle w:val="121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rPr>
                <w:rFonts w:ascii="宋体" w:hAnsi="宋体"/>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1214"/>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rPr>
                <w:rFonts w:ascii="仿宋_GB2312" w:hAnsi="仿宋_GB2312"/>
                <w:color w:val="000000"/>
                <w:sz w:val="28"/>
                <w:szCs w:val="28"/>
                <w:highlight w:val="none"/>
              </w:rPr>
            </w:r>
            <w:r/>
          </w:p>
        </w:tc>
        <w:tc>
          <w:tcPr>
            <w:gridSpan w:val="2"/>
            <w:tcW w:w="3673"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1214"/>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5"/>
            <w:tcW w:w="6924" w:type="dxa"/>
            <w:vAlign w:val="center"/>
            <w:textDirection w:val="lrTb"/>
            <w:noWrap w:val="false"/>
          </w:tcPr>
          <w:p>
            <w:pPr>
              <w:pStyle w:val="121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r>
            <w:r/>
          </w:p>
          <w:p>
            <w:pPr>
              <w:pStyle w:val="121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hint="eastAsia" w:ascii="宋体" w:hAnsi="宋体"/>
                <w:b/>
                <w:bCs/>
                <w:color w:val="000000"/>
                <w:sz w:val="24"/>
                <w:highlight w:val="none"/>
              </w:rPr>
            </w:r>
            <w:r/>
          </w:p>
        </w:tc>
      </w:tr>
    </w:tbl>
    <w:p>
      <w:pPr>
        <w:pStyle w:val="1126"/>
        <w:rPr>
          <w:rFonts w:ascii="宋体" w:hAnsi="宋体"/>
          <w:color w:val="000000"/>
          <w:sz w:val="24"/>
          <w:highlight w:val="none"/>
        </w:rPr>
      </w:pPr>
      <w:r>
        <w:rPr>
          <w:rFonts w:ascii="宋体" w:hAnsi="宋体"/>
          <w:color w:val="000000"/>
          <w:sz w:val="24"/>
          <w:highlight w:val="none"/>
        </w:rPr>
      </w:r>
      <w:r/>
    </w:p>
    <w:p>
      <w:pPr>
        <w:pStyle w:val="82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备注：“投标总报价”数额应当与“开标一览表”中“投标总报价”数额一致。</w:t>
      </w:r>
      <w:r>
        <w:rPr>
          <w:rFonts w:ascii="宋体" w:hAnsi="宋体"/>
          <w:color w:val="000000"/>
          <w:sz w:val="24"/>
          <w:szCs w:val="24"/>
          <w:highlight w:val="none"/>
        </w:rPr>
      </w:r>
      <w:r/>
    </w:p>
    <w:p>
      <w:pPr>
        <w:pStyle w:val="1117"/>
        <w:jc w:val="center"/>
        <w:rPr>
          <w:rFonts w:hint="eastAsia"/>
          <w:color w:val="000000"/>
          <w:highlight w:val="none"/>
        </w:rPr>
      </w:pPr>
      <w:r>
        <w:rPr>
          <w:rFonts w:hint="eastAsia"/>
          <w:b/>
          <w:bCs/>
          <w:color w:val="000000"/>
          <w:highlight w:val="none"/>
        </w:rPr>
        <w:br w:type="page" w:clear="all"/>
      </w:r>
      <w:r>
        <w:rPr>
          <w:rFonts w:hint="eastAsia"/>
          <w:color w:val="000000"/>
          <w:highlight w:val="none"/>
        </w:rPr>
      </w:r>
      <w:r/>
    </w:p>
    <w:p>
      <w:pPr>
        <w:pStyle w:val="1151"/>
        <w:rPr>
          <w:rFonts w:hint="eastAsia"/>
          <w:b w:val="0"/>
          <w:bCs/>
          <w:color w:val="000000"/>
          <w:highlight w:val="none"/>
        </w:rPr>
        <w:outlineLvl w:val="1"/>
      </w:pPr>
      <w:r/>
      <w:bookmarkStart w:id="164" w:name="_Toc21129"/>
      <w:r/>
      <w:bookmarkStart w:id="165" w:name="_Toc2747"/>
      <w:r>
        <w:rPr>
          <w:rFonts w:hint="eastAsia"/>
          <w:b w:val="0"/>
          <w:bCs/>
          <w:color w:val="000000"/>
          <w:highlight w:val="none"/>
        </w:rPr>
        <w:t xml:space="preserve">六、中小企业或残疾人福利性单位声明函</w:t>
      </w:r>
      <w:bookmarkEnd w:id="163"/>
      <w:r/>
      <w:bookmarkEnd w:id="164"/>
      <w:r/>
      <w:bookmarkEnd w:id="165"/>
      <w:r>
        <w:rPr>
          <w:rFonts w:hint="eastAsia"/>
          <w:b w:val="0"/>
          <w:bCs/>
          <w:color w:val="000000"/>
          <w:highlight w:val="none"/>
        </w:rPr>
      </w:r>
      <w:r/>
    </w:p>
    <w:p>
      <w:pPr>
        <w:pStyle w:val="1117"/>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rPr>
          <w:rFonts w:ascii="方正小标宋_GBK" w:eastAsia="方正小标宋_GBK"/>
          <w:bCs/>
          <w:color w:val="000000"/>
          <w:sz w:val="32"/>
          <w:szCs w:val="32"/>
          <w:highlight w:val="none"/>
        </w:rPr>
      </w:r>
      <w:r/>
    </w:p>
    <w:p>
      <w:pPr>
        <w:pStyle w:val="111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rPr>
          <w:rFonts w:hint="eastAsia" w:ascii="方正小标宋_GBK" w:eastAsia="方正小标宋_GBK"/>
          <w:bCs/>
          <w:color w:val="000000"/>
          <w:sz w:val="32"/>
          <w:szCs w:val="32"/>
          <w:highlight w:val="none"/>
        </w:rPr>
      </w:r>
      <w:r/>
    </w:p>
    <w:p>
      <w:pPr>
        <w:pStyle w:val="82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color w:val="000000"/>
          <w:sz w:val="24"/>
          <w:szCs w:val="24"/>
          <w:highlight w:val="none"/>
        </w:rPr>
      </w:r>
      <w:r/>
    </w:p>
    <w:p>
      <w:pPr>
        <w:pStyle w:val="822"/>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22"/>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2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2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2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22"/>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22"/>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822"/>
        <w:ind w:firstLine="480"/>
        <w:spacing w:line="400" w:lineRule="exact"/>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rPr>
          <w:rFonts w:ascii="Times New Roman" w:hAnsi="Times New Roman"/>
          <w:color w:val="000000"/>
          <w:sz w:val="22"/>
          <w:szCs w:val="21"/>
          <w:highlight w:val="none"/>
        </w:rPr>
      </w:r>
      <w:r/>
    </w:p>
    <w:p>
      <w:pPr>
        <w:pStyle w:val="1133"/>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1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rPr>
          <w:rFonts w:ascii="方正小标宋_GBK" w:eastAsia="方正小标宋_GBK"/>
          <w:bCs/>
          <w:color w:val="000000"/>
          <w:sz w:val="32"/>
          <w:szCs w:val="32"/>
          <w:highlight w:val="none"/>
        </w:rPr>
      </w:r>
      <w:r/>
    </w:p>
    <w:p>
      <w:pPr>
        <w:pStyle w:val="1135"/>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4"/>
          <w:highlight w:val="none"/>
        </w:rPr>
      </w:r>
      <w:r/>
    </w:p>
    <w:p>
      <w:pPr>
        <w:pStyle w:val="113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rPr>
          <w:rFonts w:ascii="Times New Roman" w:hAnsi="Times New Roman"/>
          <w:color w:val="000000"/>
          <w:sz w:val="24"/>
          <w:highlight w:val="none"/>
        </w:rPr>
      </w:r>
      <w:r/>
    </w:p>
    <w:p>
      <w:pPr>
        <w:pStyle w:val="1136"/>
        <w:ind w:firstLine="3810"/>
        <w:spacing w:line="500" w:lineRule="exact"/>
        <w:rPr>
          <w:color w:val="000000"/>
          <w:spacing w:val="6"/>
          <w:sz w:val="24"/>
          <w:szCs w:val="24"/>
          <w:highlight w:val="none"/>
        </w:rPr>
      </w:pPr>
      <w:r>
        <w:rPr>
          <w:color w:val="000000"/>
          <w:spacing w:val="6"/>
          <w:sz w:val="24"/>
          <w:szCs w:val="24"/>
          <w:highlight w:val="none"/>
        </w:rPr>
      </w:r>
      <w:r/>
    </w:p>
    <w:p>
      <w:pPr>
        <w:pStyle w:val="1136"/>
        <w:ind w:firstLine="3629"/>
        <w:jc w:val="left"/>
        <w:spacing w:line="500" w:lineRule="exact"/>
        <w:rPr>
          <w:color w:val="000000"/>
          <w:sz w:val="24"/>
          <w:highlight w:val="none"/>
        </w:rPr>
      </w:pPr>
      <w:r>
        <w:rPr>
          <w:color w:val="000000"/>
          <w:sz w:val="24"/>
          <w:highlight w:val="none"/>
        </w:rPr>
      </w:r>
      <w:r/>
    </w:p>
    <w:p>
      <w:pPr>
        <w:pStyle w:val="1136"/>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rPr>
          <w:color w:val="000000"/>
          <w:sz w:val="24"/>
          <w:highlight w:val="none"/>
        </w:rPr>
      </w:r>
      <w:r/>
    </w:p>
    <w:p>
      <w:pPr>
        <w:pStyle w:val="1133"/>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rPr>
          <w:rFonts w:ascii="Times New Roman" w:hAnsi="Times New Roman"/>
          <w:color w:val="000000"/>
          <w:sz w:val="24"/>
          <w:szCs w:val="20"/>
          <w:highlight w:val="none"/>
        </w:rPr>
      </w:r>
      <w:r/>
    </w:p>
    <w:p>
      <w:pPr>
        <w:pStyle w:val="1135"/>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7"/>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rPr>
          <w:rFonts w:ascii="Times New Roman" w:hAnsi="Times New Roman"/>
          <w:color w:val="000000"/>
          <w:sz w:val="24"/>
          <w:szCs w:val="24"/>
          <w:highlight w:val="none"/>
        </w:rPr>
      </w:r>
      <w:r/>
    </w:p>
    <w:p>
      <w:pPr>
        <w:pStyle w:val="822"/>
        <w:ind w:firstLine="480"/>
        <w:jc w:val="left"/>
        <w:spacing w:line="400" w:lineRule="exact"/>
        <w:rPr>
          <w:rFonts w:ascii="Times New Roman" w:hAnsi="Times New Roman" w:eastAsia="宋体"/>
          <w:color w:val="ff0000"/>
          <w:sz w:val="24"/>
          <w:szCs w:val="24"/>
          <w:highlight w:val="yellow"/>
          <w:lang w:val="en-US" w:eastAsia="zh-CN"/>
        </w:rPr>
      </w:pPr>
      <w:r>
        <w:rPr>
          <w:rFonts w:ascii="Times New Roman" w:hAnsi="Times New Roman" w:eastAsia="宋体"/>
          <w:color w:val="ff0000"/>
          <w:sz w:val="24"/>
          <w:szCs w:val="24"/>
          <w:highlight w:val="yellow"/>
          <w:lang w:val="en-US" w:eastAsia="zh-CN"/>
        </w:rPr>
      </w:r>
      <w:r/>
    </w:p>
    <w:p>
      <w:pPr>
        <w:pStyle w:val="1134"/>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rPr>
          <w:rFonts w:hint="eastAsia" w:ascii="宋体" w:hAnsi="宋体" w:eastAsia="宋体" w:cs="宋体"/>
          <w:bCs/>
          <w:color w:val="000000"/>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rPr>
                <w:rFonts w:ascii="宋体" w:hAnsi="宋体" w:cs="仿宋"/>
                <w:color w:val="000000"/>
                <w:sz w:val="28"/>
                <w:highlight w:val="none"/>
              </w:rPr>
            </w:r>
            <w:r/>
          </w:p>
          <w:p>
            <w:pPr>
              <w:pStyle w:val="822"/>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rPr>
                <w:rFonts w:hint="eastAsia" w:ascii="宋体" w:hAnsi="宋体"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rPr>
                <w:rFonts w:hint="eastAsia" w:ascii="宋体" w:hAnsi="宋体" w:cs="仿宋"/>
                <w:color w:val="000000"/>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2"/>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bl>
    <w:p>
      <w:pPr>
        <w:pStyle w:val="822"/>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rPr>
          <w:rFonts w:ascii="宋体" w:hAnsi="宋体" w:cs="仿宋"/>
          <w:color w:val="000000"/>
          <w:highlight w:val="none"/>
        </w:rPr>
      </w:r>
      <w:r/>
    </w:p>
    <w:p>
      <w:pPr>
        <w:pStyle w:val="897"/>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7"/>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6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rPr>
          <w:rFonts w:ascii="Times New Roman" w:hAnsi="Times New Roman"/>
          <w:b/>
          <w:bCs/>
          <w:color w:val="000000"/>
          <w:szCs w:val="20"/>
          <w:highlight w:val="none"/>
        </w:rPr>
      </w:r>
      <w:r/>
    </w:p>
    <w:p>
      <w:pPr>
        <w:pStyle w:val="897"/>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rPr>
          <w:rFonts w:ascii="Times New Roman" w:hAnsi="Times New Roman"/>
          <w:color w:val="000000"/>
          <w:szCs w:val="20"/>
          <w:highlight w:val="none"/>
        </w:rPr>
      </w:r>
      <w:r/>
    </w:p>
    <w:p>
      <w:pPr>
        <w:pStyle w:val="822"/>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4"/>
        <w:rPr>
          <w:rFonts w:hint="eastAsia" w:ascii="宋体" w:hAnsi="宋体" w:eastAsia="宋体" w:cs="宋体"/>
          <w:bCs/>
          <w:color w:val="000000"/>
          <w:highlight w:val="none"/>
        </w:rPr>
      </w:pPr>
      <w:r/>
      <w:bookmarkEnd w:id="166"/>
      <w:r/>
      <w:bookmarkStart w:id="167" w:name="_Toc15871"/>
      <w:r/>
      <w:bookmarkStart w:id="168" w:name="_Toc25337"/>
      <w:r>
        <w:rPr>
          <w:rFonts w:hint="eastAsia" w:ascii="宋体" w:hAnsi="宋体" w:eastAsia="宋体" w:cs="宋体"/>
          <w:bCs/>
          <w:color w:val="000000"/>
          <w:highlight w:val="none"/>
        </w:rPr>
        <w:t xml:space="preserve">八、项目组人员</w:t>
      </w:r>
      <w:r>
        <w:rPr>
          <w:rFonts w:hint="eastAsia" w:ascii="宋体" w:hAnsi="宋体" w:eastAsia="宋体" w:cs="宋体"/>
          <w:bCs/>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3"/>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姓名</w:t>
            </w:r>
            <w:r>
              <w:rPr>
                <w:rFonts w:hint="eastAsia" w:ascii="宋体" w:hAnsi="宋体" w:cs="仿宋"/>
                <w:color w:val="000000"/>
                <w:sz w:val="28"/>
                <w:szCs w:val="28"/>
                <w:highlight w:val="none"/>
              </w:rPr>
            </w:r>
            <w:r/>
          </w:p>
        </w:tc>
        <w:tc>
          <w:tcPr>
            <w:tcW w:w="1843" w:type="dxa"/>
            <w:vAlign w:val="center"/>
            <w:textDirection w:val="lrTb"/>
            <w:noWrap w:val="false"/>
          </w:tcPr>
          <w:p>
            <w:pPr>
              <w:pStyle w:val="1223"/>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职务</w:t>
            </w:r>
            <w:r>
              <w:rPr>
                <w:rFonts w:hint="eastAsia" w:ascii="宋体" w:hAnsi="宋体" w:cs="仿宋"/>
                <w:color w:val="000000"/>
                <w:sz w:val="28"/>
                <w:szCs w:val="28"/>
                <w:highlight w:val="none"/>
              </w:rPr>
            </w:r>
            <w:r/>
          </w:p>
        </w:tc>
        <w:tc>
          <w:tcPr>
            <w:tcW w:w="992" w:type="dxa"/>
            <w:vAlign w:val="center"/>
            <w:textDirection w:val="lrTb"/>
            <w:noWrap w:val="false"/>
          </w:tcPr>
          <w:p>
            <w:pPr>
              <w:pStyle w:val="1223"/>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学历</w:t>
            </w:r>
            <w:r>
              <w:rPr>
                <w:rFonts w:hint="eastAsia" w:ascii="宋体" w:hAnsi="宋体" w:cs="仿宋"/>
                <w:color w:val="000000"/>
                <w:sz w:val="28"/>
                <w:szCs w:val="28"/>
                <w:highlight w:val="none"/>
              </w:rPr>
            </w:r>
            <w:r/>
          </w:p>
        </w:tc>
        <w:tc>
          <w:tcPr>
            <w:tcW w:w="1984" w:type="dxa"/>
            <w:vAlign w:val="center"/>
            <w:textDirection w:val="lrTb"/>
            <w:noWrap w:val="false"/>
          </w:tcPr>
          <w:p>
            <w:pPr>
              <w:pStyle w:val="1223"/>
              <w:ind w:firstLine="280"/>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身份证号</w:t>
            </w:r>
            <w:r>
              <w:rPr>
                <w:rFonts w:hint="eastAsia" w:ascii="宋体" w:hAnsi="宋体" w:cs="仿宋"/>
                <w:color w:val="000000"/>
                <w:sz w:val="28"/>
                <w:szCs w:val="28"/>
                <w:highlight w:val="none"/>
              </w:rPr>
            </w:r>
            <w:r/>
          </w:p>
        </w:tc>
        <w:tc>
          <w:tcPr>
            <w:tcW w:w="1702" w:type="dxa"/>
            <w:vAlign w:val="center"/>
            <w:textDirection w:val="lrTb"/>
            <w:noWrap w:val="false"/>
          </w:tcPr>
          <w:p>
            <w:pPr>
              <w:pStyle w:val="1223"/>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相关证书</w:t>
            </w:r>
            <w:r>
              <w:rPr>
                <w:rFonts w:hint="eastAsia" w:ascii="宋体" w:hAnsi="宋体" w:cs="仿宋"/>
                <w:color w:val="000000"/>
                <w:sz w:val="28"/>
                <w:szCs w:val="28"/>
                <w:highlight w:val="none"/>
              </w:rPr>
            </w:r>
            <w:r/>
          </w:p>
        </w:tc>
        <w:tc>
          <w:tcPr>
            <w:tcW w:w="962" w:type="dxa"/>
            <w:vAlign w:val="center"/>
            <w:textDirection w:val="lrTb"/>
            <w:noWrap w:val="false"/>
          </w:tcPr>
          <w:p>
            <w:pPr>
              <w:pStyle w:val="1223"/>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备注</w:t>
            </w:r>
            <w:r>
              <w:rPr>
                <w:rFonts w:hint="eastAsia" w:ascii="宋体" w:hAnsi="宋体"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3"/>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822"/>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69" w:name="_格式2__法定代表人授权书"/>
      <w:r/>
      <w:bookmarkEnd w:id="169"/>
      <w:r>
        <w:rPr>
          <w:rFonts w:hint="eastAsia" w:ascii="Times New Roman" w:hAnsi="Times New Roman" w:cs="宋体"/>
          <w:color w:val="000000"/>
          <w:sz w:val="24"/>
          <w:szCs w:val="20"/>
          <w:highlight w:val="none"/>
        </w:rPr>
      </w:r>
      <w:r/>
    </w:p>
    <w:p>
      <w:pPr>
        <w:pStyle w:val="822"/>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22"/>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1"/>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67"/>
      <w:r/>
      <w:bookmarkEnd w:id="168"/>
      <w:r>
        <w:rPr>
          <w:rFonts w:hint="eastAsia" w:ascii="宋体"/>
          <w:b w:val="0"/>
          <w:color w:val="000000"/>
          <w:szCs w:val="32"/>
          <w:highlight w:val="none"/>
        </w:rPr>
      </w:r>
      <w:r/>
    </w:p>
    <w:p>
      <w:pPr>
        <w:pStyle w:val="1159"/>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70"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15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r>
        <w:rPr>
          <w:rFonts w:hint="eastAsia" w:ascii="方正小标宋_GBK" w:eastAsia="方正小标宋_GBK"/>
          <w:bCs/>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60"/>
              <w:jc w:val="center"/>
              <w:spacing w:line="560" w:lineRule="exact"/>
              <w:rPr>
                <w:rFonts w:ascii="仿宋_GB2312" w:eastAsia="仿宋_GB2312"/>
                <w:color w:val="000000"/>
                <w:sz w:val="28"/>
                <w:szCs w:val="28"/>
                <w:highlight w:val="none"/>
              </w:rPr>
            </w:pPr>
            <w:r/>
            <w:bookmarkEnd w:id="170"/>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160"/>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160"/>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160"/>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0"/>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9"/>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rPr>
          <w:rFonts w:ascii="宋体" w:hAnsi="宋体"/>
          <w:bCs/>
          <w:color w:val="000000"/>
          <w:highlight w:val="none"/>
        </w:rPr>
      </w:r>
      <w:r/>
    </w:p>
    <w:p>
      <w:pPr>
        <w:pStyle w:val="822"/>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71" w:name="_Toc26048"/>
      <w:r/>
      <w:bookmarkStart w:id="172" w:name="_Toc9275"/>
      <w:r>
        <w:rPr>
          <w:rFonts w:hint="eastAsia" w:ascii="宋体" w:hAnsi="黑体" w:eastAsia="黑体" w:cs="黑体"/>
          <w:color w:val="000000"/>
          <w:sz w:val="32"/>
          <w:szCs w:val="32"/>
          <w:highlight w:val="none"/>
        </w:rPr>
        <w:t xml:space="preserve">十、投标所需其他材料</w:t>
      </w:r>
      <w:bookmarkEnd w:id="171"/>
      <w:r/>
      <w:bookmarkEnd w:id="172"/>
      <w:r>
        <w:rPr>
          <w:rFonts w:hint="eastAsia" w:ascii="宋体"/>
          <w:color w:val="000000"/>
          <w:szCs w:val="32"/>
          <w:highlight w:val="none"/>
        </w:rPr>
      </w:r>
      <w:r/>
    </w:p>
    <w:p>
      <w:pPr>
        <w:pStyle w:val="1163"/>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38"/>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82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2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2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2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2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2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2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2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22"/>
      </w:pPr>
      <w:r/>
      <w:r/>
    </w:p>
    <w:sectPr>
      <w:footerReference w:type="default" r:id="rId13"/>
      <w:footnotePr/>
      <w:endnotePr/>
      <w:type w:val="continuous"/>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
  </w:p>
  <w:p>
    <w:pPr>
      <w:pStyle w:val="8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p>
                          <w:pPr>
                            <w:pStyle w:val="8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p>
                    <w:pPr>
                      <w:pStyle w:val="822"/>
                    </w:pPr>
                    <w:r/>
                    <w:r/>
                  </w:p>
                </w:txbxContent>
              </v:textbox>
            </v:shape>
          </w:pict>
        </mc:Fallback>
      </mc:AlternateContent>
    </w:r>
    <w:r/>
  </w:p>
  <w:p>
    <w:pPr>
      <w:pStyle w:val="87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8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822"/>
                    </w:pPr>
                    <w:r/>
                    <w:r/>
                  </w:p>
                </w:txbxContent>
              </v:textbox>
            </v:shape>
          </w:pict>
        </mc:Fallback>
      </mc:AlternateContent>
    </w:r>
    <w:r/>
  </w:p>
  <w:p>
    <w:pPr>
      <w:pStyle w:val="87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1"/>
      <w:isLgl w:val="false"/>
      <w:suff w:val="nothing"/>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
    <w:multiLevelType w:val="hybridMultilevel"/>
    <w:lvl w:ilvl="0">
      <w:start w:val="1"/>
      <w:numFmt w:val="chineseCounting"/>
      <w:pStyle w:val="1246"/>
      <w:isLgl w:val="false"/>
      <w:suff w:val="nothing"/>
      <w:lvlText w:val="%1、"/>
      <w:lvlJc w:val="left"/>
      <w:pPr>
        <w:pStyle w:val="822"/>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822"/>
    <w:next w:val="822"/>
    <w:link w:val="966"/>
    <w:uiPriority w:val="9"/>
    <w:qFormat/>
    <w:pPr>
      <w:keepLines/>
      <w:keepNext/>
      <w:spacing w:before="480" w:after="200"/>
      <w:outlineLvl w:val="0"/>
    </w:pPr>
    <w:rPr>
      <w:rFonts w:ascii="Arial" w:hAnsi="Arial" w:eastAsia="Arial" w:cs="Arial"/>
      <w:sz w:val="40"/>
      <w:szCs w:val="40"/>
    </w:rPr>
  </w:style>
  <w:style w:type="paragraph" w:styleId="789">
    <w:name w:val="Heading 2"/>
    <w:basedOn w:val="822"/>
    <w:next w:val="822"/>
    <w:link w:val="967"/>
    <w:uiPriority w:val="9"/>
    <w:unhideWhenUsed/>
    <w:qFormat/>
    <w:pPr>
      <w:keepLines/>
      <w:keepNext/>
      <w:spacing w:before="360" w:after="200"/>
      <w:outlineLvl w:val="1"/>
    </w:pPr>
    <w:rPr>
      <w:rFonts w:ascii="Arial" w:hAnsi="Arial" w:eastAsia="Arial" w:cs="Arial"/>
      <w:sz w:val="34"/>
    </w:rPr>
  </w:style>
  <w:style w:type="paragraph" w:styleId="790">
    <w:name w:val="Heading 3"/>
    <w:basedOn w:val="822"/>
    <w:next w:val="822"/>
    <w:link w:val="968"/>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822"/>
    <w:next w:val="822"/>
    <w:link w:val="969"/>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822"/>
    <w:next w:val="822"/>
    <w:link w:val="970"/>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822"/>
    <w:next w:val="822"/>
    <w:link w:val="971"/>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822"/>
    <w:next w:val="822"/>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822"/>
    <w:next w:val="822"/>
    <w:link w:val="973"/>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822"/>
    <w:next w:val="822"/>
    <w:link w:val="974"/>
    <w:uiPriority w:val="9"/>
    <w:unhideWhenUsed/>
    <w:qFormat/>
    <w:pPr>
      <w:keepLines/>
      <w:keepNext/>
      <w:spacing w:before="320" w:after="200"/>
      <w:outlineLvl w:val="8"/>
    </w:pPr>
    <w:rPr>
      <w:rFonts w:ascii="Arial" w:hAnsi="Arial" w:eastAsia="Arial" w:cs="Arial"/>
      <w:i/>
      <w:iCs/>
      <w:sz w:val="21"/>
      <w:szCs w:val="21"/>
    </w:rPr>
  </w:style>
  <w:style w:type="paragraph" w:styleId="797">
    <w:name w:val="List Paragraph"/>
    <w:basedOn w:val="822"/>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822"/>
    <w:next w:val="822"/>
    <w:link w:val="975"/>
    <w:uiPriority w:val="10"/>
    <w:qFormat/>
    <w:pPr>
      <w:contextualSpacing/>
      <w:spacing w:before="300" w:after="200"/>
    </w:pPr>
    <w:rPr>
      <w:sz w:val="48"/>
      <w:szCs w:val="48"/>
    </w:rPr>
  </w:style>
  <w:style w:type="paragraph" w:styleId="800">
    <w:name w:val="Subtitle"/>
    <w:basedOn w:val="822"/>
    <w:next w:val="822"/>
    <w:link w:val="976"/>
    <w:uiPriority w:val="11"/>
    <w:qFormat/>
    <w:pPr>
      <w:spacing w:before="200" w:after="200"/>
    </w:pPr>
    <w:rPr>
      <w:sz w:val="24"/>
      <w:szCs w:val="24"/>
    </w:rPr>
  </w:style>
  <w:style w:type="paragraph" w:styleId="801">
    <w:name w:val="Quote"/>
    <w:basedOn w:val="822"/>
    <w:next w:val="822"/>
    <w:link w:val="977"/>
    <w:uiPriority w:val="29"/>
    <w:qFormat/>
    <w:pPr>
      <w:ind w:left="720" w:right="720"/>
    </w:pPr>
    <w:rPr>
      <w:i/>
    </w:rPr>
  </w:style>
  <w:style w:type="paragraph" w:styleId="802">
    <w:name w:val="Intense Quote"/>
    <w:basedOn w:val="822"/>
    <w:next w:val="822"/>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3">
    <w:name w:val="Header"/>
    <w:basedOn w:val="822"/>
    <w:link w:val="988"/>
    <w:uiPriority w:val="99"/>
    <w:unhideWhenUsed/>
    <w:pPr>
      <w:spacing w:after="0" w:line="240" w:lineRule="auto"/>
      <w:tabs>
        <w:tab w:val="center" w:pos="7143" w:leader="none"/>
        <w:tab w:val="right" w:pos="14287" w:leader="none"/>
      </w:tabs>
    </w:pPr>
  </w:style>
  <w:style w:type="paragraph" w:styleId="804">
    <w:name w:val="Footer"/>
    <w:basedOn w:val="822"/>
    <w:link w:val="979"/>
    <w:uiPriority w:val="99"/>
    <w:unhideWhenUsed/>
    <w:pPr>
      <w:spacing w:after="0" w:line="240" w:lineRule="auto"/>
      <w:tabs>
        <w:tab w:val="center" w:pos="7143" w:leader="none"/>
        <w:tab w:val="right" w:pos="14287" w:leader="none"/>
      </w:tabs>
    </w:pPr>
  </w:style>
  <w:style w:type="paragraph" w:styleId="805">
    <w:name w:val="Caption"/>
    <w:basedOn w:val="822"/>
    <w:next w:val="822"/>
    <w:uiPriority w:val="35"/>
    <w:semiHidden/>
    <w:unhideWhenUsed/>
    <w:qFormat/>
    <w:pPr>
      <w:spacing w:line="276" w:lineRule="auto"/>
    </w:pPr>
    <w:rPr>
      <w:b/>
      <w:bCs/>
      <w:color w:val="4f81bd" w:themeColor="accent1"/>
      <w:sz w:val="18"/>
      <w:szCs w:val="18"/>
    </w:rPr>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Hyperlink"/>
    <w:uiPriority w:val="99"/>
    <w:unhideWhenUsed/>
    <w:rPr>
      <w:color w:val="0000ff" w:themeColor="hyperlink"/>
      <w:u w:val="single"/>
    </w:rPr>
  </w:style>
  <w:style w:type="paragraph" w:styleId="808">
    <w:name w:val="footnote text"/>
    <w:basedOn w:val="822"/>
    <w:link w:val="980"/>
    <w:uiPriority w:val="99"/>
    <w:semiHidden/>
    <w:unhideWhenUsed/>
    <w:pPr>
      <w:spacing w:after="40" w:line="240" w:lineRule="auto"/>
    </w:pPr>
    <w:rPr>
      <w:sz w:val="18"/>
    </w:rPr>
  </w:style>
  <w:style w:type="character" w:styleId="809">
    <w:name w:val="footnote reference"/>
    <w:uiPriority w:val="99"/>
    <w:unhideWhenUsed/>
    <w:rPr>
      <w:vertAlign w:val="superscript"/>
    </w:rPr>
  </w:style>
  <w:style w:type="paragraph" w:styleId="810">
    <w:name w:val="endnote text"/>
    <w:basedOn w:val="822"/>
    <w:link w:val="981"/>
    <w:uiPriority w:val="99"/>
    <w:semiHidden/>
    <w:unhideWhenUsed/>
    <w:pPr>
      <w:spacing w:after="0" w:line="240" w:lineRule="auto"/>
    </w:pPr>
    <w:rPr>
      <w:sz w:val="20"/>
    </w:rPr>
  </w:style>
  <w:style w:type="character" w:styleId="811">
    <w:name w:val="endnote reference"/>
    <w:uiPriority w:val="99"/>
    <w:semiHidden/>
    <w:unhideWhenUsed/>
    <w:rPr>
      <w:vertAlign w:val="superscript"/>
    </w:rPr>
  </w:style>
  <w:style w:type="paragraph" w:styleId="812">
    <w:name w:val="toc 1"/>
    <w:basedOn w:val="822"/>
    <w:next w:val="822"/>
    <w:uiPriority w:val="39"/>
    <w:unhideWhenUsed/>
    <w:pPr>
      <w:ind w:left="0" w:right="0" w:firstLine="0"/>
      <w:spacing w:after="57"/>
    </w:pPr>
  </w:style>
  <w:style w:type="paragraph" w:styleId="813">
    <w:name w:val="toc 2"/>
    <w:basedOn w:val="822"/>
    <w:next w:val="822"/>
    <w:uiPriority w:val="39"/>
    <w:unhideWhenUsed/>
    <w:pPr>
      <w:ind w:left="283" w:right="0" w:firstLine="0"/>
      <w:spacing w:after="57"/>
    </w:pPr>
  </w:style>
  <w:style w:type="paragraph" w:styleId="814">
    <w:name w:val="toc 3"/>
    <w:basedOn w:val="822"/>
    <w:next w:val="822"/>
    <w:uiPriority w:val="39"/>
    <w:unhideWhenUsed/>
    <w:pPr>
      <w:ind w:left="567" w:right="0" w:firstLine="0"/>
      <w:spacing w:after="57"/>
    </w:pPr>
  </w:style>
  <w:style w:type="paragraph" w:styleId="815">
    <w:name w:val="toc 4"/>
    <w:basedOn w:val="822"/>
    <w:next w:val="822"/>
    <w:uiPriority w:val="39"/>
    <w:unhideWhenUsed/>
    <w:pPr>
      <w:ind w:left="850" w:right="0" w:firstLine="0"/>
      <w:spacing w:after="57"/>
    </w:pPr>
  </w:style>
  <w:style w:type="paragraph" w:styleId="816">
    <w:name w:val="toc 5"/>
    <w:basedOn w:val="822"/>
    <w:next w:val="822"/>
    <w:uiPriority w:val="39"/>
    <w:unhideWhenUsed/>
    <w:pPr>
      <w:ind w:left="1134" w:right="0" w:firstLine="0"/>
      <w:spacing w:after="57"/>
    </w:pPr>
  </w:style>
  <w:style w:type="paragraph" w:styleId="817">
    <w:name w:val="toc 6"/>
    <w:basedOn w:val="822"/>
    <w:next w:val="822"/>
    <w:uiPriority w:val="39"/>
    <w:unhideWhenUsed/>
    <w:pPr>
      <w:ind w:left="1417" w:right="0" w:firstLine="0"/>
      <w:spacing w:after="57"/>
    </w:pPr>
  </w:style>
  <w:style w:type="paragraph" w:styleId="818">
    <w:name w:val="toc 7"/>
    <w:basedOn w:val="822"/>
    <w:next w:val="822"/>
    <w:uiPriority w:val="39"/>
    <w:unhideWhenUsed/>
    <w:pPr>
      <w:ind w:left="1701" w:right="0" w:firstLine="0"/>
      <w:spacing w:after="57"/>
    </w:pPr>
  </w:style>
  <w:style w:type="paragraph" w:styleId="819">
    <w:name w:val="toc 8"/>
    <w:basedOn w:val="822"/>
    <w:next w:val="822"/>
    <w:uiPriority w:val="39"/>
    <w:unhideWhenUsed/>
    <w:pPr>
      <w:ind w:left="1984" w:right="0" w:firstLine="0"/>
      <w:spacing w:after="57"/>
    </w:pPr>
  </w:style>
  <w:style w:type="paragraph" w:styleId="820">
    <w:name w:val="toc 9"/>
    <w:basedOn w:val="822"/>
    <w:next w:val="822"/>
    <w:uiPriority w:val="39"/>
    <w:unhideWhenUsed/>
    <w:pPr>
      <w:ind w:left="2268" w:right="0" w:firstLine="0"/>
      <w:spacing w:after="57"/>
    </w:pPr>
  </w:style>
  <w:style w:type="paragraph" w:styleId="821">
    <w:name w:val="table of figures"/>
    <w:basedOn w:val="822"/>
    <w:next w:val="822"/>
    <w:uiPriority w:val="99"/>
    <w:unhideWhenUsed/>
    <w:pPr>
      <w:spacing w:after="0" w:afterAutospacing="0"/>
    </w:pPr>
  </w:style>
  <w:style w:type="paragraph" w:styleId="822" w:default="1">
    <w:name w:val="Normal"/>
    <w:next w:val="822"/>
    <w:link w:val="822"/>
    <w:qFormat/>
    <w:pPr>
      <w:jc w:val="both"/>
      <w:widowControl w:val="off"/>
    </w:pPr>
    <w:rPr>
      <w:rFonts w:ascii="Calibri" w:hAnsi="Calibri"/>
      <w:sz w:val="21"/>
      <w:szCs w:val="22"/>
      <w:lang w:val="en-US" w:eastAsia="zh-CN" w:bidi="ar-SA"/>
    </w:rPr>
  </w:style>
  <w:style w:type="paragraph" w:styleId="823">
    <w:name w:val="标题 1"/>
    <w:basedOn w:val="822"/>
    <w:next w:val="822"/>
    <w:link w:val="834"/>
    <w:qFormat/>
    <w:pPr>
      <w:keepLines/>
      <w:keepNext/>
      <w:spacing w:before="480" w:after="200"/>
      <w:outlineLvl w:val="0"/>
    </w:pPr>
    <w:rPr>
      <w:rFonts w:ascii="Arial" w:hAnsi="Arial" w:eastAsia="Arial" w:cs="Arial"/>
      <w:sz w:val="40"/>
      <w:szCs w:val="40"/>
    </w:rPr>
  </w:style>
  <w:style w:type="paragraph" w:styleId="824">
    <w:name w:val="标题 2"/>
    <w:basedOn w:val="822"/>
    <w:next w:val="836"/>
    <w:link w:val="835"/>
    <w:qFormat/>
    <w:pPr>
      <w:keepLines/>
      <w:keepNext/>
      <w:spacing w:before="260" w:after="260" w:line="413" w:lineRule="auto"/>
      <w:outlineLvl w:val="1"/>
    </w:pPr>
    <w:rPr>
      <w:rFonts w:ascii="Arial" w:hAnsi="Arial" w:eastAsia="黑体"/>
      <w:b/>
      <w:sz w:val="32"/>
      <w:szCs w:val="20"/>
    </w:rPr>
  </w:style>
  <w:style w:type="paragraph" w:styleId="825">
    <w:name w:val="标题 3"/>
    <w:basedOn w:val="838"/>
    <w:next w:val="840"/>
    <w:link w:val="839"/>
    <w:qFormat/>
    <w:pPr>
      <w:keepLines/>
      <w:keepNext/>
      <w:spacing w:before="320" w:after="200"/>
      <w:outlineLvl w:val="2"/>
    </w:pPr>
    <w:rPr>
      <w:rFonts w:ascii="Arial" w:hAnsi="Arial" w:eastAsia="Arial" w:cs="Arial"/>
      <w:sz w:val="30"/>
      <w:szCs w:val="30"/>
    </w:rPr>
  </w:style>
  <w:style w:type="paragraph" w:styleId="826">
    <w:name w:val="标题 4"/>
    <w:basedOn w:val="822"/>
    <w:next w:val="822"/>
    <w:link w:val="844"/>
    <w:qFormat/>
    <w:pPr>
      <w:jc w:val="center"/>
      <w:keepNext/>
      <w:outlineLvl w:val="3"/>
    </w:pPr>
    <w:rPr>
      <w:rFonts w:eastAsia="新宋体"/>
      <w:sz w:val="30"/>
      <w:szCs w:val="21"/>
    </w:rPr>
  </w:style>
  <w:style w:type="paragraph" w:styleId="827">
    <w:name w:val="标题 5"/>
    <w:basedOn w:val="822"/>
    <w:next w:val="822"/>
    <w:link w:val="845"/>
    <w:qFormat/>
    <w:pPr>
      <w:keepLines/>
      <w:keepNext/>
      <w:spacing w:before="320" w:after="200"/>
      <w:outlineLvl w:val="4"/>
    </w:pPr>
    <w:rPr>
      <w:rFonts w:ascii="Arial" w:hAnsi="Arial" w:eastAsia="Arial" w:cs="Arial"/>
      <w:b/>
      <w:bCs/>
      <w:sz w:val="24"/>
      <w:szCs w:val="24"/>
    </w:rPr>
  </w:style>
  <w:style w:type="paragraph" w:styleId="828">
    <w:name w:val="标题 6"/>
    <w:basedOn w:val="822"/>
    <w:next w:val="822"/>
    <w:link w:val="846"/>
    <w:qFormat/>
    <w:pPr>
      <w:keepLines/>
      <w:keepNext/>
      <w:spacing w:before="320" w:after="200"/>
      <w:outlineLvl w:val="5"/>
    </w:pPr>
    <w:rPr>
      <w:rFonts w:ascii="Arial" w:hAnsi="Arial" w:eastAsia="Arial" w:cs="Arial"/>
      <w:b/>
      <w:bCs/>
      <w:sz w:val="22"/>
    </w:rPr>
  </w:style>
  <w:style w:type="paragraph" w:styleId="829">
    <w:name w:val="标题 7"/>
    <w:basedOn w:val="822"/>
    <w:next w:val="822"/>
    <w:link w:val="847"/>
    <w:qFormat/>
    <w:pPr>
      <w:keepLines/>
      <w:keepNext/>
      <w:spacing w:before="320" w:after="200"/>
      <w:outlineLvl w:val="6"/>
    </w:pPr>
    <w:rPr>
      <w:rFonts w:ascii="Arial" w:hAnsi="Arial" w:eastAsia="Arial" w:cs="Arial"/>
      <w:b/>
      <w:bCs/>
      <w:i/>
      <w:iCs/>
      <w:sz w:val="22"/>
    </w:rPr>
  </w:style>
  <w:style w:type="paragraph" w:styleId="830">
    <w:name w:val="标题 8"/>
    <w:basedOn w:val="822"/>
    <w:next w:val="822"/>
    <w:link w:val="848"/>
    <w:qFormat/>
    <w:pPr>
      <w:keepLines/>
      <w:keepNext/>
      <w:spacing w:before="320" w:after="200"/>
      <w:outlineLvl w:val="7"/>
    </w:pPr>
    <w:rPr>
      <w:rFonts w:ascii="Arial" w:hAnsi="Arial" w:eastAsia="Arial" w:cs="Arial"/>
      <w:i/>
      <w:iCs/>
      <w:sz w:val="22"/>
    </w:rPr>
  </w:style>
  <w:style w:type="paragraph" w:styleId="831">
    <w:name w:val="标题 9"/>
    <w:basedOn w:val="822"/>
    <w:next w:val="822"/>
    <w:link w:val="849"/>
    <w:qFormat/>
    <w:pPr>
      <w:keepLines/>
      <w:keepNext/>
      <w:spacing w:before="320" w:after="200"/>
      <w:outlineLvl w:val="8"/>
    </w:pPr>
    <w:rPr>
      <w:rFonts w:ascii="Arial" w:hAnsi="Arial" w:eastAsia="Arial" w:cs="Arial"/>
      <w:i/>
      <w:iCs/>
      <w:szCs w:val="21"/>
    </w:rPr>
  </w:style>
  <w:style w:type="character" w:styleId="832">
    <w:name w:val="默认段落字体"/>
    <w:next w:val="832"/>
    <w:link w:val="822"/>
    <w:uiPriority w:val="1"/>
    <w:unhideWhenUsed/>
    <w:qFormat/>
  </w:style>
  <w:style w:type="table" w:styleId="833">
    <w:name w:val="普通表格"/>
    <w:next w:val="833"/>
    <w:link w:val="822"/>
    <w:uiPriority w:val="99"/>
    <w:unhideWhenUsed/>
    <w:qFormat/>
    <w:tblPr/>
  </w:style>
  <w:style w:type="character" w:styleId="834">
    <w:name w:val="标题 1 字符"/>
    <w:next w:val="834"/>
    <w:link w:val="823"/>
    <w:qFormat/>
    <w:rPr>
      <w:rFonts w:ascii="Arial" w:hAnsi="Arial" w:eastAsia="Arial" w:cs="Arial"/>
      <w:sz w:val="40"/>
      <w:szCs w:val="40"/>
    </w:rPr>
  </w:style>
  <w:style w:type="character" w:styleId="835">
    <w:name w:val="标题 2 字符"/>
    <w:next w:val="835"/>
    <w:link w:val="824"/>
    <w:qFormat/>
    <w:rPr>
      <w:rFonts w:ascii="Arial" w:hAnsi="Arial" w:eastAsia="Arial" w:cs="Arial"/>
      <w:sz w:val="34"/>
    </w:rPr>
  </w:style>
  <w:style w:type="paragraph" w:styleId="836">
    <w:name w:val="正文缩进"/>
    <w:basedOn w:val="822"/>
    <w:next w:val="836"/>
    <w:link w:val="837"/>
    <w:qFormat/>
    <w:pPr>
      <w:ind w:firstLine="420"/>
    </w:pPr>
    <w:rPr>
      <w:rFonts w:ascii="宋体"/>
      <w:color w:val="000000"/>
      <w:sz w:val="24"/>
      <w:szCs w:val="20"/>
    </w:rPr>
  </w:style>
  <w:style w:type="character" w:styleId="837">
    <w:name w:val="正文缩进 字符"/>
    <w:next w:val="837"/>
    <w:link w:val="836"/>
    <w:qFormat/>
    <w:rPr>
      <w:rFonts w:ascii="宋体" w:hAnsi="Calibri"/>
      <w:color w:val="000000"/>
      <w:sz w:val="24"/>
    </w:rPr>
  </w:style>
  <w:style w:type="paragraph" w:styleId="838">
    <w:name w:val="Normal1"/>
    <w:next w:val="825"/>
    <w:link w:val="822"/>
    <w:qFormat/>
    <w:pPr>
      <w:jc w:val="both"/>
      <w:widowControl w:val="off"/>
    </w:pPr>
    <w:rPr>
      <w:rFonts w:ascii="Calibri" w:hAnsi="Calibri"/>
      <w:sz w:val="21"/>
      <w:szCs w:val="22"/>
      <w:lang w:val="en-US" w:eastAsia="zh-CN" w:bidi="ar-SA"/>
    </w:rPr>
  </w:style>
  <w:style w:type="character" w:styleId="839">
    <w:name w:val="标题 3 字符"/>
    <w:next w:val="839"/>
    <w:link w:val="825"/>
    <w:qFormat/>
    <w:rPr>
      <w:rFonts w:ascii="Arial" w:hAnsi="Arial" w:eastAsia="Arial" w:cs="Arial"/>
      <w:sz w:val="30"/>
      <w:szCs w:val="30"/>
    </w:rPr>
  </w:style>
  <w:style w:type="paragraph" w:styleId="840">
    <w:name w:val="Normal_19"/>
    <w:next w:val="841"/>
    <w:link w:val="822"/>
    <w:qFormat/>
    <w:rPr>
      <w:rFonts w:ascii="黑体" w:hAnsi="黑体" w:eastAsia="黑体" w:cs="黑体"/>
      <w:b/>
      <w:sz w:val="32"/>
      <w:szCs w:val="24"/>
      <w:lang w:val="en-US" w:eastAsia="zh-CN" w:bidi="ar-SA"/>
    </w:rPr>
  </w:style>
  <w:style w:type="paragraph" w:styleId="841">
    <w:name w:val="Normal1"/>
    <w:next w:val="842"/>
    <w:link w:val="822"/>
    <w:qFormat/>
    <w:pPr>
      <w:jc w:val="both"/>
      <w:widowControl w:val="off"/>
    </w:pPr>
    <w:rPr>
      <w:szCs w:val="21"/>
      <w:lang w:val="en-US" w:eastAsia="zh-CN" w:bidi="ar-SA"/>
    </w:rPr>
  </w:style>
  <w:style w:type="paragraph" w:styleId="842">
    <w:name w:val="Body Text First Indent1"/>
    <w:basedOn w:val="843"/>
    <w:next w:val="842"/>
    <w:link w:val="822"/>
    <w:uiPriority w:val="99"/>
    <w:unhideWhenUsed/>
    <w:qFormat/>
    <w:pPr>
      <w:ind w:firstLine="420"/>
    </w:pPr>
  </w:style>
  <w:style w:type="paragraph" w:styleId="843">
    <w:name w:val="Body Text1"/>
    <w:basedOn w:val="841"/>
    <w:next w:val="843"/>
    <w:link w:val="822"/>
    <w:uiPriority w:val="99"/>
    <w:unhideWhenUsed/>
    <w:qFormat/>
    <w:pPr>
      <w:spacing w:after="120"/>
    </w:pPr>
  </w:style>
  <w:style w:type="character" w:styleId="844">
    <w:name w:val="标题 4 字符"/>
    <w:next w:val="844"/>
    <w:link w:val="826"/>
    <w:qFormat/>
    <w:rPr>
      <w:rFonts w:ascii="Arial" w:hAnsi="Arial" w:eastAsia="Arial" w:cs="Arial"/>
      <w:b/>
      <w:bCs/>
      <w:sz w:val="26"/>
      <w:szCs w:val="26"/>
    </w:rPr>
  </w:style>
  <w:style w:type="character" w:styleId="845">
    <w:name w:val="标题 5 字符"/>
    <w:next w:val="845"/>
    <w:link w:val="827"/>
    <w:qFormat/>
    <w:rPr>
      <w:rFonts w:ascii="Arial" w:hAnsi="Arial" w:eastAsia="Arial" w:cs="Arial"/>
      <w:b/>
      <w:bCs/>
      <w:sz w:val="24"/>
      <w:szCs w:val="24"/>
    </w:rPr>
  </w:style>
  <w:style w:type="character" w:styleId="846">
    <w:name w:val="标题 6 字符"/>
    <w:next w:val="846"/>
    <w:link w:val="828"/>
    <w:qFormat/>
    <w:rPr>
      <w:rFonts w:ascii="Arial" w:hAnsi="Arial" w:eastAsia="Arial" w:cs="Arial"/>
      <w:b/>
      <w:bCs/>
      <w:sz w:val="22"/>
      <w:szCs w:val="22"/>
    </w:rPr>
  </w:style>
  <w:style w:type="character" w:styleId="847">
    <w:name w:val="标题 7 字符"/>
    <w:next w:val="847"/>
    <w:link w:val="829"/>
    <w:qFormat/>
    <w:rPr>
      <w:rFonts w:ascii="Arial" w:hAnsi="Arial" w:eastAsia="Arial" w:cs="Arial"/>
      <w:b/>
      <w:bCs/>
      <w:i/>
      <w:iCs/>
      <w:sz w:val="22"/>
      <w:szCs w:val="22"/>
    </w:rPr>
  </w:style>
  <w:style w:type="character" w:styleId="848">
    <w:name w:val="标题 8 字符"/>
    <w:next w:val="848"/>
    <w:link w:val="830"/>
    <w:qFormat/>
    <w:rPr>
      <w:rFonts w:ascii="Arial" w:hAnsi="Arial" w:eastAsia="Arial" w:cs="Arial"/>
      <w:i/>
      <w:iCs/>
      <w:sz w:val="22"/>
      <w:szCs w:val="22"/>
    </w:rPr>
  </w:style>
  <w:style w:type="character" w:styleId="849">
    <w:name w:val="标题 9 字符"/>
    <w:next w:val="849"/>
    <w:link w:val="831"/>
    <w:qFormat/>
    <w:rPr>
      <w:rFonts w:ascii="Arial" w:hAnsi="Arial" w:eastAsia="Arial" w:cs="Arial"/>
      <w:i/>
      <w:iCs/>
      <w:sz w:val="21"/>
      <w:szCs w:val="21"/>
    </w:rPr>
  </w:style>
  <w:style w:type="paragraph" w:styleId="850">
    <w:name w:val="列表 3"/>
    <w:basedOn w:val="822"/>
    <w:next w:val="850"/>
    <w:link w:val="822"/>
    <w:qFormat/>
    <w:pPr>
      <w:ind w:left="100" w:hanging="200"/>
    </w:pPr>
    <w:rPr>
      <w:rFonts w:ascii="Times New Roman" w:hAnsi="Times New Roman"/>
      <w:szCs w:val="21"/>
    </w:rPr>
  </w:style>
  <w:style w:type="paragraph" w:styleId="851">
    <w:name w:val="目录 7"/>
    <w:basedOn w:val="822"/>
    <w:next w:val="822"/>
    <w:link w:val="822"/>
    <w:unhideWhenUsed/>
    <w:qFormat/>
    <w:pPr>
      <w:ind w:left="1701"/>
      <w:spacing w:after="57"/>
    </w:pPr>
  </w:style>
  <w:style w:type="paragraph" w:styleId="852">
    <w:name w:val="题注"/>
    <w:basedOn w:val="822"/>
    <w:next w:val="822"/>
    <w:link w:val="822"/>
    <w:uiPriority w:val="35"/>
    <w:qFormat/>
    <w:pPr>
      <w:spacing w:line="276" w:lineRule="auto"/>
    </w:pPr>
    <w:rPr>
      <w:b/>
      <w:bCs/>
      <w:color w:val="5b9bd5"/>
      <w:sz w:val="18"/>
      <w:szCs w:val="18"/>
    </w:rPr>
  </w:style>
  <w:style w:type="paragraph" w:styleId="853">
    <w:name w:val="文档结构图"/>
    <w:basedOn w:val="822"/>
    <w:next w:val="853"/>
    <w:link w:val="854"/>
    <w:semiHidden/>
    <w:qFormat/>
    <w:pPr>
      <w:shd w:val="clear" w:color="auto" w:fill="000080"/>
    </w:pPr>
    <w:rPr>
      <w:rFonts w:ascii="Times New Roman" w:hAnsi="Times New Roman"/>
      <w:szCs w:val="21"/>
    </w:rPr>
  </w:style>
  <w:style w:type="character" w:styleId="854">
    <w:name w:val="文档结构图 字符"/>
    <w:next w:val="854"/>
    <w:link w:val="853"/>
    <w:semiHidden/>
    <w:qFormat/>
    <w:rPr>
      <w:sz w:val="21"/>
      <w:szCs w:val="21"/>
      <w:shd w:val="clear" w:color="auto" w:fill="000080"/>
    </w:rPr>
  </w:style>
  <w:style w:type="paragraph" w:styleId="855">
    <w:name w:val="批注文字"/>
    <w:basedOn w:val="822"/>
    <w:next w:val="855"/>
    <w:link w:val="856"/>
    <w:semiHidden/>
    <w:qFormat/>
    <w:pPr>
      <w:jc w:val="left"/>
    </w:pPr>
    <w:rPr>
      <w:rFonts w:ascii="Times New Roman" w:hAnsi="Times New Roman"/>
      <w:szCs w:val="21"/>
    </w:rPr>
  </w:style>
  <w:style w:type="character" w:styleId="856">
    <w:name w:val="批注文字 字符"/>
    <w:next w:val="856"/>
    <w:link w:val="855"/>
    <w:semiHidden/>
    <w:qFormat/>
    <w:rPr>
      <w:sz w:val="21"/>
      <w:szCs w:val="21"/>
    </w:rPr>
  </w:style>
  <w:style w:type="paragraph" w:styleId="857">
    <w:name w:val="正文文本 3"/>
    <w:basedOn w:val="822"/>
    <w:next w:val="857"/>
    <w:link w:val="858"/>
    <w:qFormat/>
    <w:rPr>
      <w:rFonts w:ascii="仿宋_GB2312" w:hAnsi="Arial" w:eastAsia="仿宋_GB2312"/>
      <w:sz w:val="32"/>
      <w:szCs w:val="32"/>
    </w:rPr>
  </w:style>
  <w:style w:type="character" w:styleId="858">
    <w:name w:val="正文文本 3 字符"/>
    <w:next w:val="858"/>
    <w:link w:val="857"/>
    <w:qFormat/>
    <w:rPr>
      <w:rFonts w:ascii="仿宋_GB2312" w:hAnsi="Arial" w:eastAsia="仿宋_GB2312"/>
      <w:sz w:val="32"/>
      <w:szCs w:val="32"/>
    </w:rPr>
  </w:style>
  <w:style w:type="paragraph" w:styleId="859">
    <w:name w:val="正文文本"/>
    <w:basedOn w:val="822"/>
    <w:next w:val="859"/>
    <w:link w:val="822"/>
    <w:semiHidden/>
    <w:qFormat/>
    <w:rPr>
      <w:rFonts w:ascii="仿宋" w:hAnsi="仿宋" w:eastAsia="仿宋" w:cs="仿宋"/>
      <w:sz w:val="32"/>
      <w:szCs w:val="32"/>
      <w:lang w:val="en-US" w:eastAsia="en-US" w:bidi="ar-SA"/>
    </w:rPr>
  </w:style>
  <w:style w:type="paragraph" w:styleId="860">
    <w:name w:val="正文文本缩进"/>
    <w:basedOn w:val="822"/>
    <w:next w:val="860"/>
    <w:link w:val="861"/>
    <w:qFormat/>
    <w:pPr>
      <w:ind w:firstLine="225"/>
    </w:pPr>
    <w:rPr>
      <w:rFonts w:ascii="仿宋_GB2312" w:eastAsia="仿宋_GB2312"/>
      <w:sz w:val="32"/>
    </w:rPr>
  </w:style>
  <w:style w:type="character" w:styleId="861">
    <w:name w:val="正文文本缩进 字符1"/>
    <w:next w:val="861"/>
    <w:link w:val="860"/>
    <w:qFormat/>
    <w:rPr>
      <w:rFonts w:ascii="仿宋_GB2312" w:hAnsi="Calibri" w:eastAsia="仿宋_GB2312"/>
      <w:sz w:val="32"/>
      <w:szCs w:val="22"/>
    </w:rPr>
  </w:style>
  <w:style w:type="paragraph" w:styleId="862">
    <w:name w:val="列表 2"/>
    <w:basedOn w:val="822"/>
    <w:next w:val="862"/>
    <w:link w:val="822"/>
    <w:qFormat/>
    <w:pPr>
      <w:ind w:left="100" w:hanging="200"/>
    </w:pPr>
    <w:rPr>
      <w:rFonts w:ascii="Times New Roman" w:hAnsi="Times New Roman"/>
      <w:szCs w:val="21"/>
    </w:rPr>
  </w:style>
  <w:style w:type="paragraph" w:styleId="863">
    <w:name w:val="目录 5"/>
    <w:basedOn w:val="822"/>
    <w:next w:val="822"/>
    <w:link w:val="822"/>
    <w:unhideWhenUsed/>
    <w:qFormat/>
    <w:pPr>
      <w:ind w:left="1134"/>
      <w:spacing w:after="57"/>
    </w:pPr>
  </w:style>
  <w:style w:type="paragraph" w:styleId="864">
    <w:name w:val="目录 3"/>
    <w:basedOn w:val="822"/>
    <w:next w:val="822"/>
    <w:link w:val="822"/>
    <w:unhideWhenUsed/>
    <w:qFormat/>
    <w:pPr>
      <w:ind w:left="567"/>
      <w:spacing w:after="57"/>
    </w:pPr>
  </w:style>
  <w:style w:type="paragraph" w:styleId="865">
    <w:name w:val="纯文本"/>
    <w:basedOn w:val="822"/>
    <w:next w:val="865"/>
    <w:link w:val="866"/>
    <w:qFormat/>
    <w:rPr>
      <w:rFonts w:ascii="宋体" w:hAnsi="Courier New" w:cs="Courier New"/>
      <w:szCs w:val="21"/>
    </w:rPr>
  </w:style>
  <w:style w:type="character" w:styleId="866">
    <w:name w:val="纯文本 字符"/>
    <w:next w:val="866"/>
    <w:link w:val="865"/>
    <w:qFormat/>
    <w:rPr>
      <w:rFonts w:ascii="宋体" w:hAnsi="Courier New" w:cs="Courier New"/>
      <w:sz w:val="21"/>
      <w:szCs w:val="21"/>
    </w:rPr>
  </w:style>
  <w:style w:type="paragraph" w:styleId="867">
    <w:name w:val="目录 8"/>
    <w:basedOn w:val="822"/>
    <w:next w:val="822"/>
    <w:link w:val="822"/>
    <w:unhideWhenUsed/>
    <w:qFormat/>
    <w:pPr>
      <w:ind w:left="1984"/>
      <w:spacing w:after="57"/>
    </w:pPr>
  </w:style>
  <w:style w:type="paragraph" w:styleId="868">
    <w:name w:val="日期"/>
    <w:basedOn w:val="822"/>
    <w:next w:val="822"/>
    <w:link w:val="869"/>
    <w:qFormat/>
    <w:rPr>
      <w:rFonts w:ascii="Times New Roman" w:hAnsi="Times New Roman"/>
      <w:sz w:val="24"/>
      <w:szCs w:val="24"/>
    </w:rPr>
  </w:style>
  <w:style w:type="character" w:styleId="869">
    <w:name w:val="日期 字符"/>
    <w:next w:val="869"/>
    <w:link w:val="868"/>
    <w:qFormat/>
    <w:rPr>
      <w:sz w:val="24"/>
      <w:szCs w:val="24"/>
    </w:rPr>
  </w:style>
  <w:style w:type="paragraph" w:styleId="870">
    <w:name w:val="正文文本缩进 2"/>
    <w:basedOn w:val="822"/>
    <w:next w:val="870"/>
    <w:link w:val="871"/>
    <w:qFormat/>
    <w:pPr>
      <w:ind w:left="630" w:firstLine="645"/>
    </w:pPr>
    <w:rPr>
      <w:rFonts w:ascii="Arial" w:hAnsi="Arial" w:eastAsia="仿宋_GB2312" w:cs="Arial"/>
      <w:sz w:val="32"/>
      <w:szCs w:val="32"/>
    </w:rPr>
  </w:style>
  <w:style w:type="character" w:styleId="871">
    <w:name w:val="正文文本缩进 2 字符"/>
    <w:next w:val="871"/>
    <w:link w:val="870"/>
    <w:qFormat/>
    <w:rPr>
      <w:rFonts w:ascii="Arial" w:hAnsi="Arial" w:eastAsia="仿宋_GB2312" w:cs="Arial"/>
      <w:sz w:val="32"/>
      <w:szCs w:val="32"/>
    </w:rPr>
  </w:style>
  <w:style w:type="paragraph" w:styleId="872">
    <w:name w:val="尾注文本"/>
    <w:basedOn w:val="822"/>
    <w:next w:val="872"/>
    <w:link w:val="873"/>
    <w:uiPriority w:val="99"/>
    <w:unhideWhenUsed/>
    <w:qFormat/>
    <w:rPr>
      <w:sz w:val="20"/>
    </w:rPr>
  </w:style>
  <w:style w:type="character" w:styleId="873">
    <w:name w:val="尾注文本 字符"/>
    <w:next w:val="873"/>
    <w:link w:val="872"/>
    <w:uiPriority w:val="99"/>
    <w:qFormat/>
    <w:rPr>
      <w:sz w:val="20"/>
    </w:rPr>
  </w:style>
  <w:style w:type="paragraph" w:styleId="874">
    <w:name w:val="批注框文本"/>
    <w:basedOn w:val="822"/>
    <w:next w:val="874"/>
    <w:link w:val="875"/>
    <w:qFormat/>
    <w:rPr>
      <w:rFonts w:ascii="Times New Roman" w:hAnsi="Times New Roman"/>
      <w:sz w:val="18"/>
      <w:szCs w:val="18"/>
    </w:rPr>
  </w:style>
  <w:style w:type="character" w:styleId="875">
    <w:name w:val="批注框文本 字符"/>
    <w:next w:val="875"/>
    <w:link w:val="874"/>
    <w:qFormat/>
    <w:rPr>
      <w:sz w:val="18"/>
      <w:szCs w:val="18"/>
    </w:rPr>
  </w:style>
  <w:style w:type="paragraph" w:styleId="876">
    <w:name w:val="页脚"/>
    <w:basedOn w:val="822"/>
    <w:next w:val="876"/>
    <w:link w:val="877"/>
    <w:uiPriority w:val="99"/>
    <w:qFormat/>
    <w:pPr>
      <w:jc w:val="left"/>
      <w:tabs>
        <w:tab w:val="center" w:pos="4153" w:leader="none"/>
        <w:tab w:val="right" w:pos="8306" w:leader="none"/>
      </w:tabs>
    </w:pPr>
    <w:rPr>
      <w:sz w:val="18"/>
      <w:szCs w:val="18"/>
    </w:rPr>
  </w:style>
  <w:style w:type="character" w:styleId="877">
    <w:name w:val="页脚 字符"/>
    <w:next w:val="877"/>
    <w:link w:val="876"/>
    <w:uiPriority w:val="99"/>
    <w:qFormat/>
  </w:style>
  <w:style w:type="paragraph" w:styleId="878">
    <w:name w:val="页眉"/>
    <w:basedOn w:val="822"/>
    <w:next w:val="878"/>
    <w:link w:val="879"/>
    <w:qFormat/>
    <w:pPr>
      <w:jc w:val="center"/>
      <w:tabs>
        <w:tab w:val="center" w:pos="4153" w:leader="none"/>
        <w:tab w:val="right" w:pos="8306" w:leader="none"/>
      </w:tabs>
    </w:pPr>
    <w:rPr>
      <w:sz w:val="18"/>
      <w:szCs w:val="18"/>
    </w:rPr>
  </w:style>
  <w:style w:type="character" w:styleId="879">
    <w:name w:val="页眉 字符"/>
    <w:next w:val="879"/>
    <w:link w:val="878"/>
    <w:qFormat/>
    <w:rPr>
      <w:rFonts w:ascii="Calibri" w:hAnsi="Calibri"/>
      <w:sz w:val="18"/>
      <w:szCs w:val="18"/>
    </w:rPr>
  </w:style>
  <w:style w:type="paragraph" w:styleId="880">
    <w:name w:val="目录 1"/>
    <w:basedOn w:val="822"/>
    <w:next w:val="822"/>
    <w:link w:val="822"/>
    <w:qFormat/>
    <w:pPr>
      <w:jc w:val="left"/>
      <w:spacing w:before="120" w:after="120"/>
    </w:pPr>
    <w:rPr>
      <w:rFonts w:cs="Calibri"/>
      <w:b/>
      <w:bCs/>
      <w:caps/>
      <w:sz w:val="20"/>
      <w:szCs w:val="20"/>
    </w:rPr>
  </w:style>
  <w:style w:type="paragraph" w:styleId="881">
    <w:name w:val="目录 4"/>
    <w:basedOn w:val="822"/>
    <w:next w:val="822"/>
    <w:link w:val="822"/>
    <w:unhideWhenUsed/>
    <w:qFormat/>
    <w:pPr>
      <w:ind w:left="850"/>
      <w:spacing w:after="57"/>
    </w:pPr>
  </w:style>
  <w:style w:type="paragraph" w:styleId="882">
    <w:name w:val="副标题"/>
    <w:basedOn w:val="822"/>
    <w:next w:val="822"/>
    <w:link w:val="883"/>
    <w:uiPriority w:val="11"/>
    <w:qFormat/>
    <w:pPr>
      <w:spacing w:before="200" w:after="200"/>
    </w:pPr>
    <w:rPr>
      <w:sz w:val="24"/>
      <w:szCs w:val="24"/>
    </w:rPr>
  </w:style>
  <w:style w:type="character" w:styleId="883">
    <w:name w:val="副标题 字符"/>
    <w:next w:val="883"/>
    <w:link w:val="882"/>
    <w:uiPriority w:val="11"/>
    <w:qFormat/>
    <w:rPr>
      <w:sz w:val="24"/>
      <w:szCs w:val="24"/>
    </w:rPr>
  </w:style>
  <w:style w:type="paragraph" w:styleId="884">
    <w:name w:val="列表"/>
    <w:basedOn w:val="822"/>
    <w:next w:val="884"/>
    <w:link w:val="822"/>
    <w:qFormat/>
    <w:pPr>
      <w:ind w:left="200" w:hanging="200"/>
    </w:pPr>
    <w:rPr>
      <w:rFonts w:ascii="Times New Roman" w:hAnsi="Times New Roman"/>
      <w:szCs w:val="21"/>
    </w:rPr>
  </w:style>
  <w:style w:type="paragraph" w:styleId="885">
    <w:name w:val="脚注文本"/>
    <w:basedOn w:val="822"/>
    <w:next w:val="885"/>
    <w:link w:val="886"/>
    <w:uiPriority w:val="99"/>
    <w:unhideWhenUsed/>
    <w:qFormat/>
    <w:pPr>
      <w:spacing w:after="40"/>
    </w:pPr>
    <w:rPr>
      <w:sz w:val="18"/>
    </w:rPr>
  </w:style>
  <w:style w:type="character" w:styleId="886">
    <w:name w:val="脚注文本 字符"/>
    <w:next w:val="886"/>
    <w:link w:val="885"/>
    <w:uiPriority w:val="99"/>
    <w:qFormat/>
    <w:rPr>
      <w:sz w:val="18"/>
    </w:rPr>
  </w:style>
  <w:style w:type="paragraph" w:styleId="887">
    <w:name w:val="目录 6"/>
    <w:basedOn w:val="822"/>
    <w:next w:val="822"/>
    <w:link w:val="822"/>
    <w:unhideWhenUsed/>
    <w:qFormat/>
    <w:pPr>
      <w:ind w:left="1417"/>
      <w:spacing w:after="57"/>
    </w:pPr>
  </w:style>
  <w:style w:type="paragraph" w:styleId="888">
    <w:name w:val="正文文本缩进 3"/>
    <w:basedOn w:val="822"/>
    <w:next w:val="888"/>
    <w:link w:val="889"/>
    <w:qFormat/>
    <w:pPr>
      <w:ind w:left="645" w:firstLine="645"/>
    </w:pPr>
    <w:rPr>
      <w:rFonts w:ascii="Arial" w:hAnsi="Arial" w:eastAsia="仿宋_GB2312" w:cs="Arial"/>
      <w:color w:val="ffff00"/>
      <w:sz w:val="32"/>
      <w:szCs w:val="32"/>
    </w:rPr>
  </w:style>
  <w:style w:type="character" w:styleId="889">
    <w:name w:val="正文文本缩进 3 字符"/>
    <w:next w:val="889"/>
    <w:link w:val="888"/>
    <w:qFormat/>
    <w:rPr>
      <w:rFonts w:ascii="Arial" w:hAnsi="Arial" w:eastAsia="仿宋_GB2312" w:cs="Arial"/>
      <w:color w:val="ffff00"/>
      <w:sz w:val="32"/>
      <w:szCs w:val="32"/>
    </w:rPr>
  </w:style>
  <w:style w:type="paragraph" w:styleId="890">
    <w:name w:val="图表目录"/>
    <w:basedOn w:val="822"/>
    <w:next w:val="822"/>
    <w:link w:val="822"/>
    <w:unhideWhenUsed/>
    <w:qFormat/>
  </w:style>
  <w:style w:type="paragraph" w:styleId="891">
    <w:name w:val="目录 2"/>
    <w:basedOn w:val="822"/>
    <w:next w:val="822"/>
    <w:link w:val="822"/>
    <w:qFormat/>
    <w:pPr>
      <w:ind w:left="210"/>
      <w:jc w:val="left"/>
    </w:pPr>
    <w:rPr>
      <w:rFonts w:cs="Calibri"/>
      <w:smallCaps/>
      <w:sz w:val="20"/>
      <w:szCs w:val="20"/>
    </w:rPr>
  </w:style>
  <w:style w:type="paragraph" w:styleId="892">
    <w:name w:val="目录 9"/>
    <w:basedOn w:val="822"/>
    <w:next w:val="822"/>
    <w:link w:val="822"/>
    <w:unhideWhenUsed/>
    <w:qFormat/>
    <w:pPr>
      <w:ind w:left="2268"/>
      <w:spacing w:after="57"/>
    </w:pPr>
  </w:style>
  <w:style w:type="paragraph" w:styleId="893">
    <w:name w:val="正文文本 2"/>
    <w:basedOn w:val="822"/>
    <w:next w:val="893"/>
    <w:link w:val="894"/>
    <w:qFormat/>
    <w:pPr>
      <w:jc w:val="center"/>
      <w:widowControl/>
    </w:pPr>
    <w:rPr>
      <w:rFonts w:ascii="楷体_GB2312" w:hAnsi="Times New Roman" w:eastAsia="楷体_GB2312"/>
      <w:sz w:val="28"/>
      <w:szCs w:val="28"/>
    </w:rPr>
  </w:style>
  <w:style w:type="character" w:styleId="894">
    <w:name w:val="正文文本 2 字符"/>
    <w:next w:val="894"/>
    <w:link w:val="893"/>
    <w:qFormat/>
    <w:rPr>
      <w:rFonts w:ascii="楷体_GB2312" w:eastAsia="楷体_GB2312"/>
      <w:sz w:val="28"/>
      <w:szCs w:val="28"/>
    </w:rPr>
  </w:style>
  <w:style w:type="paragraph" w:styleId="895">
    <w:name w:val="HTML 预设格式"/>
    <w:basedOn w:val="822"/>
    <w:next w:val="895"/>
    <w:link w:val="8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6">
    <w:name w:val="HTML 预设格式 字符"/>
    <w:next w:val="896"/>
    <w:link w:val="895"/>
    <w:uiPriority w:val="99"/>
    <w:qFormat/>
    <w:rPr>
      <w:rFonts w:ascii="宋体" w:hAnsi="宋体"/>
      <w:sz w:val="24"/>
      <w:szCs w:val="24"/>
    </w:rPr>
  </w:style>
  <w:style w:type="paragraph" w:styleId="897">
    <w:name w:val="普通(网站)"/>
    <w:basedOn w:val="822"/>
    <w:next w:val="897"/>
    <w:link w:val="822"/>
    <w:uiPriority w:val="99"/>
    <w:qFormat/>
    <w:pPr>
      <w:jc w:val="left"/>
      <w:spacing w:before="100" w:beforeAutospacing="1" w:after="100" w:afterAutospacing="1"/>
      <w:widowControl/>
    </w:pPr>
    <w:rPr>
      <w:rFonts w:ascii="宋体" w:hAnsi="宋体" w:cs="宋体"/>
      <w:sz w:val="24"/>
      <w:szCs w:val="24"/>
    </w:rPr>
  </w:style>
  <w:style w:type="paragraph" w:styleId="898">
    <w:name w:val="索引 1"/>
    <w:basedOn w:val="822"/>
    <w:next w:val="822"/>
    <w:link w:val="822"/>
    <w:semiHidden/>
    <w:qFormat/>
    <w:pPr>
      <w:spacing w:line="240" w:lineRule="atLeast"/>
    </w:pPr>
    <w:rPr>
      <w:rFonts w:ascii="Times New Roman" w:hAnsi="Times New Roman"/>
      <w:b/>
      <w:bCs/>
      <w:szCs w:val="21"/>
    </w:rPr>
  </w:style>
  <w:style w:type="paragraph" w:styleId="899">
    <w:name w:val="标题"/>
    <w:basedOn w:val="822"/>
    <w:next w:val="822"/>
    <w:link w:val="900"/>
    <w:uiPriority w:val="10"/>
    <w:qFormat/>
    <w:pPr>
      <w:contextualSpacing/>
      <w:spacing w:before="300" w:after="200"/>
    </w:pPr>
    <w:rPr>
      <w:sz w:val="48"/>
      <w:szCs w:val="48"/>
    </w:rPr>
  </w:style>
  <w:style w:type="character" w:styleId="900">
    <w:name w:val="标题 字符"/>
    <w:next w:val="900"/>
    <w:link w:val="899"/>
    <w:uiPriority w:val="10"/>
    <w:qFormat/>
    <w:rPr>
      <w:sz w:val="48"/>
      <w:szCs w:val="48"/>
    </w:rPr>
  </w:style>
  <w:style w:type="paragraph" w:styleId="901">
    <w:name w:val="批注主题"/>
    <w:basedOn w:val="855"/>
    <w:next w:val="855"/>
    <w:link w:val="902"/>
    <w:semiHidden/>
    <w:qFormat/>
    <w:rPr>
      <w:b/>
      <w:bCs/>
    </w:rPr>
  </w:style>
  <w:style w:type="character" w:styleId="902">
    <w:name w:val="批注主题 字符"/>
    <w:next w:val="902"/>
    <w:link w:val="901"/>
    <w:semiHidden/>
    <w:qFormat/>
    <w:rPr>
      <w:b/>
      <w:bCs/>
      <w:sz w:val="21"/>
      <w:szCs w:val="21"/>
    </w:rPr>
  </w:style>
  <w:style w:type="paragraph" w:styleId="903">
    <w:name w:val="正文首行缩进 2"/>
    <w:basedOn w:val="860"/>
    <w:next w:val="903"/>
    <w:link w:val="904"/>
    <w:qFormat/>
    <w:pPr>
      <w:ind w:firstLine="420"/>
      <w:spacing w:line="360" w:lineRule="auto"/>
    </w:pPr>
    <w:rPr>
      <w:rFonts w:ascii="宋体" w:hAnsi="宋体" w:eastAsia="宋体"/>
      <w:sz w:val="21"/>
      <w:szCs w:val="20"/>
    </w:rPr>
  </w:style>
  <w:style w:type="character" w:styleId="904">
    <w:name w:val="正文文本首行缩进 2 字符"/>
    <w:next w:val="904"/>
    <w:link w:val="903"/>
    <w:qFormat/>
    <w:rPr>
      <w:rFonts w:ascii="宋体" w:hAnsi="宋体" w:eastAsia="仿宋_GB2312"/>
      <w:sz w:val="21"/>
      <w:szCs w:val="22"/>
    </w:rPr>
  </w:style>
  <w:style w:type="table" w:styleId="905">
    <w:name w:val="网格型"/>
    <w:basedOn w:val="833"/>
    <w:next w:val="905"/>
    <w:link w:val="822"/>
    <w:qFormat/>
    <w:pPr>
      <w:jc w:val="both"/>
      <w:widowControl w:val="off"/>
    </w:pPr>
    <w:tblPr/>
  </w:style>
  <w:style w:type="character" w:styleId="906">
    <w:name w:val="要点"/>
    <w:next w:val="906"/>
    <w:link w:val="822"/>
    <w:qFormat/>
    <w:rPr>
      <w:b/>
      <w:bCs/>
    </w:rPr>
  </w:style>
  <w:style w:type="character" w:styleId="907">
    <w:name w:val="尾注引用"/>
    <w:next w:val="907"/>
    <w:link w:val="822"/>
    <w:uiPriority w:val="99"/>
    <w:unhideWhenUsed/>
    <w:qFormat/>
    <w:rPr>
      <w:vertAlign w:val="superscript"/>
    </w:rPr>
  </w:style>
  <w:style w:type="character" w:styleId="908">
    <w:name w:val="页码"/>
    <w:next w:val="908"/>
    <w:link w:val="822"/>
    <w:qFormat/>
  </w:style>
  <w:style w:type="character" w:styleId="909">
    <w:name w:val="已访问的超链接"/>
    <w:next w:val="909"/>
    <w:link w:val="822"/>
    <w:qFormat/>
    <w:rPr>
      <w:color w:val="800080"/>
      <w:u w:val="single"/>
    </w:rPr>
  </w:style>
  <w:style w:type="character" w:styleId="910">
    <w:name w:val="超链接"/>
    <w:next w:val="910"/>
    <w:link w:val="822"/>
    <w:qFormat/>
    <w:rPr>
      <w:color w:val="0000ff"/>
      <w:u w:val="single"/>
    </w:rPr>
  </w:style>
  <w:style w:type="character" w:styleId="911">
    <w:name w:val="批注引用"/>
    <w:next w:val="911"/>
    <w:link w:val="822"/>
    <w:semiHidden/>
    <w:qFormat/>
    <w:rPr>
      <w:sz w:val="21"/>
      <w:szCs w:val="21"/>
    </w:rPr>
  </w:style>
  <w:style w:type="character" w:styleId="912">
    <w:name w:val="脚注引用"/>
    <w:next w:val="912"/>
    <w:link w:val="822"/>
    <w:uiPriority w:val="99"/>
    <w:unhideWhenUsed/>
    <w:qFormat/>
    <w:rPr>
      <w:vertAlign w:val="superscript"/>
    </w:rPr>
  </w:style>
  <w:style w:type="paragraph" w:styleId="913">
    <w:name w:val="正文首行缩进 21"/>
    <w:basedOn w:val="914"/>
    <w:next w:val="822"/>
    <w:link w:val="822"/>
    <w:qFormat/>
    <w:pPr>
      <w:ind w:firstLine="420"/>
      <w:spacing w:line="360" w:lineRule="auto"/>
    </w:pPr>
    <w:rPr>
      <w:rFonts w:ascii="宋体" w:hAnsi="宋体" w:eastAsia="宋体"/>
      <w:sz w:val="21"/>
      <w:szCs w:val="20"/>
    </w:rPr>
  </w:style>
  <w:style w:type="paragraph" w:styleId="914">
    <w:name w:val="正文文本缩进1"/>
    <w:basedOn w:val="822"/>
    <w:next w:val="915"/>
    <w:link w:val="822"/>
    <w:qFormat/>
    <w:pPr>
      <w:ind w:firstLine="645"/>
    </w:pPr>
    <w:rPr>
      <w:rFonts w:ascii="楷体_GB2312" w:eastAsia="楷体_GB2312"/>
      <w:sz w:val="32"/>
      <w:szCs w:val="32"/>
    </w:rPr>
  </w:style>
  <w:style w:type="paragraph" w:styleId="915">
    <w:name w:val="寄信人地址1"/>
    <w:basedOn w:val="822"/>
    <w:next w:val="915"/>
    <w:link w:val="822"/>
    <w:qFormat/>
    <w:rPr>
      <w:rFonts w:ascii="Arial" w:hAnsi="Arial"/>
    </w:rPr>
  </w:style>
  <w:style w:type="paragraph" w:styleId="916">
    <w:name w:val="标题 41"/>
    <w:basedOn w:val="917"/>
    <w:next w:val="822"/>
    <w:link w:val="822"/>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7">
    <w:name w:val="Normal_20"/>
    <w:next w:val="918"/>
    <w:link w:val="822"/>
    <w:qFormat/>
    <w:rPr>
      <w:rFonts w:ascii="黑体" w:hAnsi="黑体" w:eastAsia="黑体" w:cs="黑体"/>
      <w:b/>
      <w:sz w:val="32"/>
      <w:szCs w:val="24"/>
      <w:lang w:val="en-US" w:eastAsia="zh-CN" w:bidi="ar-SA"/>
    </w:rPr>
  </w:style>
  <w:style w:type="paragraph" w:styleId="918">
    <w:name w:val="正文文本首行缩进 22"/>
    <w:basedOn w:val="919"/>
    <w:next w:val="918"/>
    <w:link w:val="822"/>
    <w:qFormat/>
    <w:pPr>
      <w:ind w:left="200" w:firstLine="200"/>
      <w:spacing w:after="120"/>
    </w:pPr>
    <w:rPr>
      <w:rFonts w:ascii="Times New Roman" w:hAnsi="Times New Roman"/>
      <w:sz w:val="24"/>
    </w:rPr>
  </w:style>
  <w:style w:type="paragraph" w:styleId="919">
    <w:name w:val="正文文本缩进2"/>
    <w:basedOn w:val="917"/>
    <w:next w:val="919"/>
    <w:link w:val="822"/>
    <w:qFormat/>
    <w:pPr>
      <w:ind w:firstLine="225"/>
    </w:pPr>
    <w:rPr>
      <w:rFonts w:ascii="仿宋_GB2312" w:eastAsia="仿宋_GB2312"/>
    </w:rPr>
  </w:style>
  <w:style w:type="paragraph" w:styleId="920">
    <w:name w:val="Body Text First Indent_2"/>
    <w:basedOn w:val="917"/>
    <w:next w:val="920"/>
    <w:link w:val="822"/>
    <w:qFormat/>
    <w:pPr>
      <w:ind w:firstLine="100"/>
      <w:spacing w:after="120"/>
    </w:pPr>
  </w:style>
  <w:style w:type="paragraph" w:styleId="921">
    <w:name w:val="脚注文本1"/>
    <w:basedOn w:val="822"/>
    <w:next w:val="921"/>
    <w:link w:val="822"/>
    <w:qFormat/>
    <w:pPr>
      <w:jc w:val="left"/>
    </w:pPr>
    <w:rPr>
      <w:rFonts w:eastAsia="Times New Roman"/>
      <w:sz w:val="18"/>
      <w:szCs w:val="24"/>
    </w:rPr>
  </w:style>
  <w:style w:type="table" w:styleId="922">
    <w:name w:val="Plain Table 1"/>
    <w:basedOn w:val="833"/>
    <w:next w:val="922"/>
    <w:link w:val="822"/>
    <w:uiPriority w:val="59"/>
    <w:qFormat/>
    <w:pPr>
      <w:spacing w:after="0" w:line="240" w:lineRule="auto"/>
    </w:pPr>
    <w:tblPr/>
  </w:style>
  <w:style w:type="table" w:styleId="923">
    <w:name w:val="Plain Table 2"/>
    <w:basedOn w:val="833"/>
    <w:next w:val="923"/>
    <w:link w:val="822"/>
    <w:uiPriority w:val="59"/>
    <w:qFormat/>
    <w:pPr>
      <w:spacing w:after="0" w:line="240" w:lineRule="auto"/>
    </w:pPr>
    <w:tblPr/>
  </w:style>
  <w:style w:type="table" w:styleId="924">
    <w:name w:val="Plain Table 3"/>
    <w:basedOn w:val="833"/>
    <w:next w:val="924"/>
    <w:link w:val="822"/>
    <w:uiPriority w:val="99"/>
    <w:qFormat/>
    <w:pPr>
      <w:spacing w:after="0" w:line="240" w:lineRule="auto"/>
    </w:pPr>
    <w:tblPr/>
  </w:style>
  <w:style w:type="table" w:styleId="925">
    <w:name w:val="Plain Table 4"/>
    <w:basedOn w:val="833"/>
    <w:next w:val="925"/>
    <w:link w:val="822"/>
    <w:uiPriority w:val="99"/>
    <w:qFormat/>
    <w:pPr>
      <w:spacing w:after="0" w:line="240" w:lineRule="auto"/>
    </w:pPr>
    <w:tblPr/>
  </w:style>
  <w:style w:type="table" w:styleId="926">
    <w:name w:val="Plain Table 5"/>
    <w:basedOn w:val="833"/>
    <w:next w:val="926"/>
    <w:link w:val="822"/>
    <w:uiPriority w:val="99"/>
    <w:qFormat/>
    <w:pPr>
      <w:spacing w:after="0" w:line="240" w:lineRule="auto"/>
    </w:pPr>
    <w:tblPr/>
  </w:style>
  <w:style w:type="table" w:styleId="927">
    <w:name w:val="Grid Table 1 Light"/>
    <w:basedOn w:val="833"/>
    <w:next w:val="927"/>
    <w:link w:val="822"/>
    <w:uiPriority w:val="99"/>
    <w:qFormat/>
    <w:pPr>
      <w:spacing w:after="0" w:line="240" w:lineRule="auto"/>
    </w:pPr>
    <w:tblPr/>
  </w:style>
  <w:style w:type="table" w:styleId="928">
    <w:name w:val="Grid Table 2"/>
    <w:basedOn w:val="833"/>
    <w:next w:val="928"/>
    <w:link w:val="822"/>
    <w:uiPriority w:val="99"/>
    <w:qFormat/>
    <w:pPr>
      <w:spacing w:after="0" w:line="240" w:lineRule="auto"/>
    </w:pPr>
    <w:tblPr/>
  </w:style>
  <w:style w:type="table" w:styleId="929">
    <w:name w:val="Grid Table 3"/>
    <w:basedOn w:val="833"/>
    <w:next w:val="929"/>
    <w:link w:val="822"/>
    <w:uiPriority w:val="99"/>
    <w:qFormat/>
    <w:pPr>
      <w:spacing w:after="0" w:line="240" w:lineRule="auto"/>
    </w:pPr>
    <w:tblPr/>
  </w:style>
  <w:style w:type="table" w:styleId="930">
    <w:name w:val="Grid Table 4"/>
    <w:basedOn w:val="833"/>
    <w:next w:val="930"/>
    <w:link w:val="822"/>
    <w:uiPriority w:val="59"/>
    <w:qFormat/>
    <w:pPr>
      <w:spacing w:after="0" w:line="240" w:lineRule="auto"/>
    </w:pPr>
    <w:tblPr/>
  </w:style>
  <w:style w:type="table" w:styleId="931">
    <w:name w:val="Grid Table 5 Dark"/>
    <w:basedOn w:val="833"/>
    <w:next w:val="931"/>
    <w:link w:val="822"/>
    <w:uiPriority w:val="99"/>
    <w:qFormat/>
    <w:pPr>
      <w:spacing w:after="0" w:line="240" w:lineRule="auto"/>
    </w:pPr>
    <w:tblPr/>
  </w:style>
  <w:style w:type="table" w:styleId="932">
    <w:name w:val="Grid Table 6 Colorful"/>
    <w:basedOn w:val="833"/>
    <w:next w:val="932"/>
    <w:link w:val="822"/>
    <w:uiPriority w:val="99"/>
    <w:qFormat/>
    <w:pPr>
      <w:spacing w:after="0" w:line="240" w:lineRule="auto"/>
    </w:pPr>
    <w:tblPr/>
  </w:style>
  <w:style w:type="table" w:styleId="933">
    <w:name w:val="Grid Table 7 Colorful"/>
    <w:basedOn w:val="833"/>
    <w:next w:val="933"/>
    <w:link w:val="822"/>
    <w:uiPriority w:val="99"/>
    <w:qFormat/>
    <w:pPr>
      <w:spacing w:after="0" w:line="240" w:lineRule="auto"/>
    </w:pPr>
    <w:tblPr/>
  </w:style>
  <w:style w:type="table" w:styleId="934">
    <w:name w:val="List Table 1 Light"/>
    <w:basedOn w:val="833"/>
    <w:next w:val="934"/>
    <w:link w:val="822"/>
    <w:uiPriority w:val="99"/>
    <w:qFormat/>
    <w:pPr>
      <w:spacing w:after="0" w:line="240" w:lineRule="auto"/>
    </w:pPr>
    <w:tblPr/>
  </w:style>
  <w:style w:type="table" w:styleId="935">
    <w:name w:val="List Table 2"/>
    <w:basedOn w:val="833"/>
    <w:next w:val="935"/>
    <w:link w:val="822"/>
    <w:uiPriority w:val="99"/>
    <w:qFormat/>
    <w:pPr>
      <w:spacing w:after="0" w:line="240" w:lineRule="auto"/>
    </w:pPr>
    <w:tblPr/>
  </w:style>
  <w:style w:type="table" w:styleId="936">
    <w:name w:val="List Table 3"/>
    <w:basedOn w:val="833"/>
    <w:next w:val="936"/>
    <w:link w:val="822"/>
    <w:uiPriority w:val="99"/>
    <w:qFormat/>
    <w:pPr>
      <w:spacing w:after="0" w:line="240" w:lineRule="auto"/>
    </w:pPr>
    <w:tblPr/>
  </w:style>
  <w:style w:type="table" w:styleId="937">
    <w:name w:val="List Table 4"/>
    <w:basedOn w:val="833"/>
    <w:next w:val="937"/>
    <w:link w:val="822"/>
    <w:uiPriority w:val="99"/>
    <w:qFormat/>
    <w:pPr>
      <w:spacing w:after="0" w:line="240" w:lineRule="auto"/>
    </w:pPr>
    <w:tblPr/>
  </w:style>
  <w:style w:type="table" w:styleId="938">
    <w:name w:val="List Table 5 Dark"/>
    <w:basedOn w:val="833"/>
    <w:next w:val="938"/>
    <w:link w:val="822"/>
    <w:uiPriority w:val="99"/>
    <w:qFormat/>
    <w:pPr>
      <w:spacing w:after="0" w:line="240" w:lineRule="auto"/>
    </w:pPr>
    <w:tblPr/>
  </w:style>
  <w:style w:type="table" w:styleId="939">
    <w:name w:val="List Table 6 Colorful"/>
    <w:basedOn w:val="833"/>
    <w:next w:val="939"/>
    <w:link w:val="822"/>
    <w:uiPriority w:val="99"/>
    <w:qFormat/>
    <w:pPr>
      <w:spacing w:after="0" w:line="240" w:lineRule="auto"/>
    </w:pPr>
    <w:tblPr/>
  </w:style>
  <w:style w:type="table" w:styleId="940">
    <w:name w:val="List Table 7 Colorful"/>
    <w:basedOn w:val="833"/>
    <w:next w:val="940"/>
    <w:link w:val="822"/>
    <w:uiPriority w:val="99"/>
    <w:qFormat/>
    <w:pPr>
      <w:spacing w:after="0" w:line="240" w:lineRule="auto"/>
    </w:pPr>
    <w:tblPr/>
  </w:style>
  <w:style w:type="paragraph" w:styleId="941">
    <w:name w:val="TOC Heading"/>
    <w:next w:val="941"/>
    <w:link w:val="822"/>
    <w:uiPriority w:val="39"/>
    <w:unhideWhenUsed/>
    <w:qFormat/>
    <w:rPr>
      <w:lang w:val="en-US" w:eastAsia="zh-CN" w:bidi="ar-SA"/>
    </w:rPr>
  </w:style>
  <w:style w:type="table" w:styleId="942">
    <w:name w:val="无格式表格 11"/>
    <w:basedOn w:val="833"/>
    <w:next w:val="942"/>
    <w:link w:val="822"/>
    <w:uiPriority w:val="59"/>
    <w:qFormat/>
    <w:tblPr/>
  </w:style>
  <w:style w:type="table" w:styleId="943">
    <w:name w:val="无格式表格 21"/>
    <w:basedOn w:val="833"/>
    <w:next w:val="943"/>
    <w:link w:val="822"/>
    <w:uiPriority w:val="59"/>
    <w:qFormat/>
    <w:tblPr/>
  </w:style>
  <w:style w:type="table" w:styleId="944">
    <w:name w:val="无格式表格 31"/>
    <w:basedOn w:val="833"/>
    <w:next w:val="944"/>
    <w:link w:val="822"/>
    <w:uiPriority w:val="99"/>
    <w:qFormat/>
    <w:tblPr/>
  </w:style>
  <w:style w:type="table" w:styleId="945">
    <w:name w:val="无格式表格 41"/>
    <w:basedOn w:val="833"/>
    <w:next w:val="945"/>
    <w:link w:val="822"/>
    <w:uiPriority w:val="99"/>
    <w:qFormat/>
    <w:tblPr/>
  </w:style>
  <w:style w:type="table" w:styleId="946">
    <w:name w:val="无格式表格 51"/>
    <w:basedOn w:val="833"/>
    <w:next w:val="946"/>
    <w:link w:val="822"/>
    <w:uiPriority w:val="99"/>
    <w:qFormat/>
    <w:tblPr/>
  </w:style>
  <w:style w:type="table" w:styleId="947">
    <w:name w:val="网格表 1 浅色1"/>
    <w:basedOn w:val="833"/>
    <w:next w:val="947"/>
    <w:link w:val="822"/>
    <w:uiPriority w:val="99"/>
    <w:qFormat/>
    <w:tblPr/>
  </w:style>
  <w:style w:type="table" w:styleId="948">
    <w:name w:val="网格表 21"/>
    <w:basedOn w:val="833"/>
    <w:next w:val="948"/>
    <w:link w:val="822"/>
    <w:uiPriority w:val="99"/>
    <w:qFormat/>
    <w:tblPr/>
  </w:style>
  <w:style w:type="table" w:styleId="949">
    <w:name w:val="网格表 31"/>
    <w:basedOn w:val="833"/>
    <w:next w:val="949"/>
    <w:link w:val="822"/>
    <w:uiPriority w:val="99"/>
    <w:qFormat/>
    <w:tblPr/>
  </w:style>
  <w:style w:type="table" w:styleId="950">
    <w:name w:val="网格表 41"/>
    <w:basedOn w:val="833"/>
    <w:next w:val="950"/>
    <w:link w:val="822"/>
    <w:uiPriority w:val="59"/>
    <w:qFormat/>
    <w:tblPr/>
  </w:style>
  <w:style w:type="table" w:styleId="951">
    <w:name w:val="网格表 5 深色1"/>
    <w:basedOn w:val="833"/>
    <w:next w:val="951"/>
    <w:link w:val="822"/>
    <w:uiPriority w:val="99"/>
    <w:qFormat/>
    <w:tblPr/>
  </w:style>
  <w:style w:type="table" w:styleId="952">
    <w:name w:val="网格表 6 彩色1"/>
    <w:basedOn w:val="833"/>
    <w:next w:val="952"/>
    <w:link w:val="822"/>
    <w:uiPriority w:val="99"/>
    <w:qFormat/>
    <w:tblPr/>
  </w:style>
  <w:style w:type="table" w:styleId="953">
    <w:name w:val="网格表 7 彩色1"/>
    <w:basedOn w:val="833"/>
    <w:next w:val="953"/>
    <w:link w:val="822"/>
    <w:uiPriority w:val="99"/>
    <w:qFormat/>
    <w:tblPr/>
  </w:style>
  <w:style w:type="table" w:styleId="954">
    <w:name w:val="清单表 1 浅色1"/>
    <w:basedOn w:val="833"/>
    <w:next w:val="954"/>
    <w:link w:val="822"/>
    <w:uiPriority w:val="99"/>
    <w:qFormat/>
    <w:tblPr/>
  </w:style>
  <w:style w:type="table" w:styleId="955">
    <w:name w:val="清单表 21"/>
    <w:basedOn w:val="833"/>
    <w:next w:val="955"/>
    <w:link w:val="822"/>
    <w:uiPriority w:val="99"/>
    <w:qFormat/>
    <w:tblPr/>
  </w:style>
  <w:style w:type="table" w:styleId="956">
    <w:name w:val="清单表 31"/>
    <w:basedOn w:val="833"/>
    <w:next w:val="956"/>
    <w:link w:val="822"/>
    <w:uiPriority w:val="99"/>
    <w:qFormat/>
    <w:tblPr/>
  </w:style>
  <w:style w:type="table" w:styleId="957">
    <w:name w:val="清单表 41"/>
    <w:basedOn w:val="833"/>
    <w:next w:val="957"/>
    <w:link w:val="822"/>
    <w:uiPriority w:val="99"/>
    <w:qFormat/>
    <w:tblPr/>
  </w:style>
  <w:style w:type="table" w:styleId="958">
    <w:name w:val="清单表 5 深色1"/>
    <w:basedOn w:val="833"/>
    <w:next w:val="958"/>
    <w:link w:val="822"/>
    <w:uiPriority w:val="99"/>
    <w:qFormat/>
    <w:tblPr/>
  </w:style>
  <w:style w:type="table" w:styleId="959">
    <w:name w:val="清单表 6 彩色1"/>
    <w:basedOn w:val="833"/>
    <w:next w:val="959"/>
    <w:link w:val="822"/>
    <w:uiPriority w:val="99"/>
    <w:qFormat/>
    <w:tblPr/>
  </w:style>
  <w:style w:type="table" w:styleId="960">
    <w:name w:val="清单表 7 彩色1"/>
    <w:basedOn w:val="833"/>
    <w:next w:val="960"/>
    <w:link w:val="822"/>
    <w:uiPriority w:val="99"/>
    <w:qFormat/>
    <w:tblPr/>
  </w:style>
  <w:style w:type="paragraph" w:styleId="961">
    <w:name w:val="TOC 标题1"/>
    <w:next w:val="961"/>
    <w:link w:val="822"/>
    <w:uiPriority w:val="39"/>
    <w:unhideWhenUsed/>
    <w:qFormat/>
    <w:rPr>
      <w:lang w:val="en-US" w:eastAsia="zh-CN" w:bidi="ar-SA"/>
    </w:rPr>
  </w:style>
  <w:style w:type="paragraph" w:styleId="962">
    <w:name w:val="Normal_21"/>
    <w:basedOn w:val="963"/>
    <w:next w:val="963"/>
    <w:link w:val="822"/>
    <w:qFormat/>
    <w:pPr>
      <w:jc w:val="both"/>
      <w:widowControl w:val="off"/>
    </w:pPr>
    <w:rPr>
      <w:rFonts w:ascii="Times New Roman" w:hAnsi="Times New Roman" w:eastAsia="宋体" w:cs="Times New Roman"/>
      <w:sz w:val="21"/>
      <w:szCs w:val="24"/>
      <w:lang w:val="en-US" w:eastAsia="zh-CN" w:bidi="ar-SA"/>
    </w:rPr>
  </w:style>
  <w:style w:type="paragraph" w:styleId="963">
    <w:name w:val="正文_16"/>
    <w:next w:val="963"/>
    <w:link w:val="822"/>
    <w:qFormat/>
    <w:pPr>
      <w:jc w:val="both"/>
      <w:widowControl w:val="off"/>
    </w:pPr>
    <w:rPr>
      <w:rFonts w:ascii="Calibri" w:hAnsi="Calibri"/>
      <w:sz w:val="21"/>
      <w:szCs w:val="22"/>
      <w:lang w:val="en-US" w:eastAsia="zh-CN" w:bidi="ar-SA"/>
    </w:rPr>
  </w:style>
  <w:style w:type="paragraph" w:styleId="964">
    <w:name w:val="正文_17"/>
    <w:next w:val="965"/>
    <w:link w:val="822"/>
    <w:qFormat/>
    <w:pPr>
      <w:jc w:val="both"/>
      <w:widowControl w:val="off"/>
    </w:pPr>
    <w:rPr>
      <w:sz w:val="21"/>
      <w:szCs w:val="22"/>
      <w:lang w:val="en-US" w:eastAsia="zh-CN" w:bidi="ar-SA"/>
    </w:rPr>
  </w:style>
  <w:style w:type="paragraph" w:styleId="965">
    <w:name w:val="标题 4_1"/>
    <w:basedOn w:val="964"/>
    <w:next w:val="964"/>
    <w:link w:val="822"/>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6">
    <w:name w:val="Heading 1 Char"/>
    <w:next w:val="966"/>
    <w:link w:val="822"/>
    <w:uiPriority w:val="9"/>
    <w:qFormat/>
    <w:rPr>
      <w:rFonts w:ascii="Arial" w:hAnsi="Arial" w:eastAsia="Arial" w:cs="Arial"/>
      <w:sz w:val="40"/>
      <w:szCs w:val="40"/>
    </w:rPr>
  </w:style>
  <w:style w:type="character" w:styleId="967">
    <w:name w:val="Heading 2 Char"/>
    <w:next w:val="967"/>
    <w:link w:val="822"/>
    <w:uiPriority w:val="9"/>
    <w:qFormat/>
    <w:rPr>
      <w:rFonts w:ascii="Arial" w:hAnsi="Arial" w:eastAsia="Arial" w:cs="Arial"/>
      <w:sz w:val="34"/>
    </w:rPr>
  </w:style>
  <w:style w:type="character" w:styleId="968">
    <w:name w:val="Heading 3 Char"/>
    <w:next w:val="968"/>
    <w:link w:val="822"/>
    <w:uiPriority w:val="9"/>
    <w:qFormat/>
    <w:rPr>
      <w:rFonts w:ascii="Arial" w:hAnsi="Arial" w:eastAsia="Arial" w:cs="Arial"/>
      <w:sz w:val="30"/>
      <w:szCs w:val="30"/>
    </w:rPr>
  </w:style>
  <w:style w:type="character" w:styleId="969">
    <w:name w:val="Heading 4 Char"/>
    <w:next w:val="969"/>
    <w:link w:val="822"/>
    <w:uiPriority w:val="9"/>
    <w:qFormat/>
    <w:rPr>
      <w:rFonts w:ascii="Arial" w:hAnsi="Arial" w:eastAsia="Arial" w:cs="Arial"/>
      <w:b/>
      <w:bCs/>
      <w:sz w:val="26"/>
      <w:szCs w:val="26"/>
    </w:rPr>
  </w:style>
  <w:style w:type="character" w:styleId="970">
    <w:name w:val="Heading 5 Char"/>
    <w:next w:val="970"/>
    <w:link w:val="822"/>
    <w:uiPriority w:val="9"/>
    <w:qFormat/>
    <w:rPr>
      <w:rFonts w:ascii="Arial" w:hAnsi="Arial" w:eastAsia="Arial" w:cs="Arial"/>
      <w:b/>
      <w:bCs/>
      <w:sz w:val="24"/>
      <w:szCs w:val="24"/>
    </w:rPr>
  </w:style>
  <w:style w:type="character" w:styleId="971">
    <w:name w:val="Heading 6 Char"/>
    <w:next w:val="971"/>
    <w:link w:val="822"/>
    <w:uiPriority w:val="9"/>
    <w:qFormat/>
    <w:rPr>
      <w:rFonts w:ascii="Arial" w:hAnsi="Arial" w:eastAsia="Arial" w:cs="Arial"/>
      <w:b/>
      <w:bCs/>
      <w:sz w:val="22"/>
      <w:szCs w:val="22"/>
    </w:rPr>
  </w:style>
  <w:style w:type="character" w:styleId="972">
    <w:name w:val="Heading 7 Char"/>
    <w:next w:val="972"/>
    <w:link w:val="822"/>
    <w:uiPriority w:val="9"/>
    <w:qFormat/>
    <w:rPr>
      <w:rFonts w:ascii="Arial" w:hAnsi="Arial" w:eastAsia="Arial" w:cs="Arial"/>
      <w:b/>
      <w:bCs/>
      <w:i/>
      <w:iCs/>
      <w:sz w:val="22"/>
      <w:szCs w:val="22"/>
    </w:rPr>
  </w:style>
  <w:style w:type="character" w:styleId="973">
    <w:name w:val="Heading 8 Char"/>
    <w:next w:val="973"/>
    <w:link w:val="822"/>
    <w:uiPriority w:val="9"/>
    <w:qFormat/>
    <w:rPr>
      <w:rFonts w:ascii="Arial" w:hAnsi="Arial" w:eastAsia="Arial" w:cs="Arial"/>
      <w:i/>
      <w:iCs/>
      <w:sz w:val="22"/>
      <w:szCs w:val="22"/>
    </w:rPr>
  </w:style>
  <w:style w:type="character" w:styleId="974">
    <w:name w:val="Heading 9 Char"/>
    <w:next w:val="974"/>
    <w:link w:val="822"/>
    <w:uiPriority w:val="9"/>
    <w:qFormat/>
    <w:rPr>
      <w:rFonts w:ascii="Arial" w:hAnsi="Arial" w:eastAsia="Arial" w:cs="Arial"/>
      <w:i/>
      <w:iCs/>
      <w:sz w:val="21"/>
      <w:szCs w:val="21"/>
    </w:rPr>
  </w:style>
  <w:style w:type="character" w:styleId="975">
    <w:name w:val="Title Char"/>
    <w:next w:val="975"/>
    <w:link w:val="822"/>
    <w:uiPriority w:val="10"/>
    <w:qFormat/>
    <w:rPr>
      <w:sz w:val="48"/>
      <w:szCs w:val="48"/>
    </w:rPr>
  </w:style>
  <w:style w:type="character" w:styleId="976">
    <w:name w:val="Subtitle Char"/>
    <w:next w:val="976"/>
    <w:link w:val="822"/>
    <w:uiPriority w:val="11"/>
    <w:qFormat/>
    <w:rPr>
      <w:sz w:val="24"/>
      <w:szCs w:val="24"/>
    </w:rPr>
  </w:style>
  <w:style w:type="character" w:styleId="977">
    <w:name w:val="Quote Char"/>
    <w:next w:val="977"/>
    <w:link w:val="822"/>
    <w:uiPriority w:val="29"/>
    <w:qFormat/>
    <w:rPr>
      <w:i/>
    </w:rPr>
  </w:style>
  <w:style w:type="character" w:styleId="978">
    <w:name w:val="Intense Quote Char"/>
    <w:next w:val="978"/>
    <w:link w:val="822"/>
    <w:uiPriority w:val="30"/>
    <w:qFormat/>
    <w:rPr>
      <w:i/>
    </w:rPr>
  </w:style>
  <w:style w:type="character" w:styleId="979">
    <w:name w:val="Caption Char"/>
    <w:next w:val="979"/>
    <w:link w:val="822"/>
    <w:uiPriority w:val="99"/>
    <w:qFormat/>
  </w:style>
  <w:style w:type="character" w:styleId="980">
    <w:name w:val="Footnote Text Char"/>
    <w:next w:val="980"/>
    <w:link w:val="822"/>
    <w:uiPriority w:val="99"/>
    <w:qFormat/>
    <w:rPr>
      <w:sz w:val="18"/>
    </w:rPr>
  </w:style>
  <w:style w:type="character" w:styleId="981">
    <w:name w:val="Endnote Text Char"/>
    <w:next w:val="981"/>
    <w:link w:val="822"/>
    <w:uiPriority w:val="99"/>
    <w:qFormat/>
    <w:rPr>
      <w:sz w:val="20"/>
    </w:rPr>
  </w:style>
  <w:style w:type="paragraph" w:styleId="982">
    <w:name w:val="列表段落"/>
    <w:basedOn w:val="822"/>
    <w:next w:val="982"/>
    <w:link w:val="822"/>
    <w:qFormat/>
    <w:pPr>
      <w:contextualSpacing/>
      <w:ind w:left="720"/>
    </w:pPr>
  </w:style>
  <w:style w:type="paragraph" w:styleId="983">
    <w:name w:val="无间隔"/>
    <w:next w:val="983"/>
    <w:link w:val="822"/>
    <w:uiPriority w:val="99"/>
    <w:qFormat/>
    <w:rPr>
      <w:lang w:val="en-US" w:eastAsia="zh-CN" w:bidi="ar-SA"/>
    </w:rPr>
  </w:style>
  <w:style w:type="paragraph" w:styleId="984">
    <w:name w:val="引用"/>
    <w:basedOn w:val="822"/>
    <w:next w:val="822"/>
    <w:link w:val="985"/>
    <w:uiPriority w:val="29"/>
    <w:qFormat/>
    <w:pPr>
      <w:ind w:left="720" w:right="720"/>
    </w:pPr>
    <w:rPr>
      <w:i/>
    </w:rPr>
  </w:style>
  <w:style w:type="character" w:styleId="985">
    <w:name w:val="引用 字符"/>
    <w:next w:val="985"/>
    <w:link w:val="984"/>
    <w:uiPriority w:val="29"/>
    <w:qFormat/>
    <w:rPr>
      <w:i/>
    </w:rPr>
  </w:style>
  <w:style w:type="paragraph" w:styleId="986">
    <w:name w:val="明显引用"/>
    <w:basedOn w:val="822"/>
    <w:next w:val="822"/>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name w:val="明显引用 字符"/>
    <w:next w:val="987"/>
    <w:link w:val="986"/>
    <w:uiPriority w:val="30"/>
    <w:qFormat/>
    <w:rPr>
      <w:i/>
    </w:rPr>
  </w:style>
  <w:style w:type="character" w:styleId="988">
    <w:name w:val="Header Char"/>
    <w:next w:val="988"/>
    <w:link w:val="822"/>
    <w:uiPriority w:val="99"/>
    <w:qFormat/>
  </w:style>
  <w:style w:type="character" w:styleId="989">
    <w:name w:val="Footer Char"/>
    <w:next w:val="989"/>
    <w:link w:val="822"/>
    <w:uiPriority w:val="99"/>
    <w:qFormat/>
  </w:style>
  <w:style w:type="table" w:styleId="990">
    <w:name w:val="Table Grid Light"/>
    <w:basedOn w:val="833"/>
    <w:next w:val="990"/>
    <w:link w:val="822"/>
    <w:uiPriority w:val="59"/>
    <w:qFormat/>
    <w:tblPr/>
  </w:style>
  <w:style w:type="table" w:styleId="991">
    <w:name w:val="Grid Table 1 Light - Accent 1"/>
    <w:basedOn w:val="833"/>
    <w:next w:val="991"/>
    <w:link w:val="822"/>
    <w:uiPriority w:val="99"/>
    <w:qFormat/>
    <w:tblPr/>
  </w:style>
  <w:style w:type="table" w:styleId="992">
    <w:name w:val="Grid Table 1 Light - Accent 2"/>
    <w:basedOn w:val="833"/>
    <w:next w:val="992"/>
    <w:link w:val="822"/>
    <w:uiPriority w:val="99"/>
    <w:qFormat/>
    <w:tblPr/>
  </w:style>
  <w:style w:type="table" w:styleId="993">
    <w:name w:val="Grid Table 1 Light - Accent 3"/>
    <w:basedOn w:val="833"/>
    <w:next w:val="993"/>
    <w:link w:val="822"/>
    <w:uiPriority w:val="99"/>
    <w:qFormat/>
    <w:tblPr/>
  </w:style>
  <w:style w:type="table" w:styleId="994">
    <w:name w:val="Grid Table 1 Light - Accent 4"/>
    <w:basedOn w:val="833"/>
    <w:next w:val="994"/>
    <w:link w:val="822"/>
    <w:uiPriority w:val="99"/>
    <w:qFormat/>
    <w:tblPr/>
  </w:style>
  <w:style w:type="table" w:styleId="995">
    <w:name w:val="Grid Table 1 Light - Accent 5"/>
    <w:basedOn w:val="833"/>
    <w:next w:val="995"/>
    <w:link w:val="822"/>
    <w:uiPriority w:val="99"/>
    <w:qFormat/>
    <w:tblPr/>
  </w:style>
  <w:style w:type="table" w:styleId="996">
    <w:name w:val="Grid Table 1 Light - Accent 6"/>
    <w:basedOn w:val="833"/>
    <w:next w:val="996"/>
    <w:link w:val="822"/>
    <w:uiPriority w:val="99"/>
    <w:qFormat/>
    <w:tblPr/>
  </w:style>
  <w:style w:type="table" w:styleId="997">
    <w:name w:val="Grid Table 2 - Accent 1"/>
    <w:basedOn w:val="833"/>
    <w:next w:val="997"/>
    <w:link w:val="822"/>
    <w:uiPriority w:val="99"/>
    <w:qFormat/>
    <w:tblPr/>
  </w:style>
  <w:style w:type="table" w:styleId="998">
    <w:name w:val="Grid Table 2 - Accent 2"/>
    <w:basedOn w:val="833"/>
    <w:next w:val="998"/>
    <w:link w:val="822"/>
    <w:uiPriority w:val="99"/>
    <w:qFormat/>
    <w:tblPr/>
  </w:style>
  <w:style w:type="table" w:styleId="999">
    <w:name w:val="Grid Table 2 - Accent 3"/>
    <w:basedOn w:val="833"/>
    <w:next w:val="999"/>
    <w:link w:val="822"/>
    <w:uiPriority w:val="99"/>
    <w:qFormat/>
    <w:tblPr/>
  </w:style>
  <w:style w:type="table" w:styleId="1000">
    <w:name w:val="Grid Table 2 - Accent 4"/>
    <w:basedOn w:val="833"/>
    <w:next w:val="1000"/>
    <w:link w:val="822"/>
    <w:uiPriority w:val="99"/>
    <w:qFormat/>
    <w:tblPr/>
  </w:style>
  <w:style w:type="table" w:styleId="1001">
    <w:name w:val="Grid Table 2 - Accent 5"/>
    <w:basedOn w:val="833"/>
    <w:next w:val="1001"/>
    <w:link w:val="822"/>
    <w:uiPriority w:val="99"/>
    <w:qFormat/>
    <w:tblPr/>
  </w:style>
  <w:style w:type="table" w:styleId="1002">
    <w:name w:val="Grid Table 2 - Accent 6"/>
    <w:basedOn w:val="833"/>
    <w:next w:val="1002"/>
    <w:link w:val="822"/>
    <w:uiPriority w:val="99"/>
    <w:qFormat/>
    <w:tblPr/>
  </w:style>
  <w:style w:type="table" w:styleId="1003">
    <w:name w:val="Grid Table 3 - Accent 1"/>
    <w:basedOn w:val="833"/>
    <w:next w:val="1003"/>
    <w:link w:val="822"/>
    <w:uiPriority w:val="99"/>
    <w:qFormat/>
    <w:tblPr/>
  </w:style>
  <w:style w:type="table" w:styleId="1004">
    <w:name w:val="Grid Table 3 - Accent 2"/>
    <w:basedOn w:val="833"/>
    <w:next w:val="1004"/>
    <w:link w:val="822"/>
    <w:uiPriority w:val="99"/>
    <w:qFormat/>
    <w:tblPr/>
  </w:style>
  <w:style w:type="table" w:styleId="1005">
    <w:name w:val="Grid Table 3 - Accent 3"/>
    <w:basedOn w:val="833"/>
    <w:next w:val="1005"/>
    <w:link w:val="822"/>
    <w:uiPriority w:val="99"/>
    <w:qFormat/>
    <w:tblPr/>
  </w:style>
  <w:style w:type="table" w:styleId="1006">
    <w:name w:val="Grid Table 3 - Accent 4"/>
    <w:basedOn w:val="833"/>
    <w:next w:val="1006"/>
    <w:link w:val="822"/>
    <w:uiPriority w:val="99"/>
    <w:qFormat/>
    <w:tblPr/>
  </w:style>
  <w:style w:type="table" w:styleId="1007">
    <w:name w:val="Grid Table 3 - Accent 5"/>
    <w:basedOn w:val="833"/>
    <w:next w:val="1007"/>
    <w:link w:val="822"/>
    <w:uiPriority w:val="99"/>
    <w:qFormat/>
    <w:tblPr/>
  </w:style>
  <w:style w:type="table" w:styleId="1008">
    <w:name w:val="Grid Table 3 - Accent 6"/>
    <w:basedOn w:val="833"/>
    <w:next w:val="1008"/>
    <w:link w:val="822"/>
    <w:uiPriority w:val="99"/>
    <w:qFormat/>
    <w:tblPr/>
  </w:style>
  <w:style w:type="table" w:styleId="1009">
    <w:name w:val="Grid Table 4 - Accent 1"/>
    <w:basedOn w:val="833"/>
    <w:next w:val="1009"/>
    <w:link w:val="822"/>
    <w:uiPriority w:val="59"/>
    <w:qFormat/>
    <w:tblPr/>
  </w:style>
  <w:style w:type="table" w:styleId="1010">
    <w:name w:val="Grid Table 4 - Accent 2"/>
    <w:basedOn w:val="833"/>
    <w:next w:val="1010"/>
    <w:link w:val="822"/>
    <w:uiPriority w:val="59"/>
    <w:qFormat/>
    <w:tblPr/>
  </w:style>
  <w:style w:type="table" w:styleId="1011">
    <w:name w:val="Grid Table 4 - Accent 3"/>
    <w:basedOn w:val="833"/>
    <w:next w:val="1011"/>
    <w:link w:val="822"/>
    <w:uiPriority w:val="59"/>
    <w:qFormat/>
    <w:tblPr/>
  </w:style>
  <w:style w:type="table" w:styleId="1012">
    <w:name w:val="Grid Table 4 - Accent 4"/>
    <w:basedOn w:val="833"/>
    <w:next w:val="1012"/>
    <w:link w:val="822"/>
    <w:uiPriority w:val="59"/>
    <w:qFormat/>
    <w:tblPr/>
  </w:style>
  <w:style w:type="table" w:styleId="1013">
    <w:name w:val="Grid Table 4 - Accent 5"/>
    <w:basedOn w:val="833"/>
    <w:next w:val="1013"/>
    <w:link w:val="822"/>
    <w:uiPriority w:val="59"/>
    <w:qFormat/>
    <w:tblPr/>
  </w:style>
  <w:style w:type="table" w:styleId="1014">
    <w:name w:val="Grid Table 4 - Accent 6"/>
    <w:basedOn w:val="833"/>
    <w:next w:val="1014"/>
    <w:link w:val="822"/>
    <w:uiPriority w:val="59"/>
    <w:qFormat/>
    <w:tblPr/>
  </w:style>
  <w:style w:type="table" w:styleId="1015">
    <w:name w:val="Grid Table 5 Dark- Accent 1"/>
    <w:basedOn w:val="833"/>
    <w:next w:val="1015"/>
    <w:link w:val="822"/>
    <w:uiPriority w:val="99"/>
    <w:qFormat/>
    <w:tblPr/>
  </w:style>
  <w:style w:type="table" w:styleId="1016">
    <w:name w:val="Grid Table 5 Dark - Accent 2"/>
    <w:basedOn w:val="833"/>
    <w:next w:val="1016"/>
    <w:link w:val="822"/>
    <w:uiPriority w:val="99"/>
    <w:qFormat/>
    <w:tblPr/>
  </w:style>
  <w:style w:type="table" w:styleId="1017">
    <w:name w:val="Grid Table 5 Dark - Accent 3"/>
    <w:basedOn w:val="833"/>
    <w:next w:val="1017"/>
    <w:link w:val="822"/>
    <w:uiPriority w:val="99"/>
    <w:qFormat/>
    <w:tblPr/>
  </w:style>
  <w:style w:type="table" w:styleId="1018">
    <w:name w:val="Grid Table 5 Dark- Accent 4"/>
    <w:basedOn w:val="833"/>
    <w:next w:val="1018"/>
    <w:link w:val="822"/>
    <w:uiPriority w:val="99"/>
    <w:qFormat/>
    <w:tblPr/>
  </w:style>
  <w:style w:type="table" w:styleId="1019">
    <w:name w:val="Grid Table 5 Dark - Accent 5"/>
    <w:basedOn w:val="833"/>
    <w:next w:val="1019"/>
    <w:link w:val="822"/>
    <w:uiPriority w:val="99"/>
    <w:qFormat/>
    <w:tblPr/>
  </w:style>
  <w:style w:type="table" w:styleId="1020">
    <w:name w:val="Grid Table 5 Dark - Accent 6"/>
    <w:basedOn w:val="833"/>
    <w:next w:val="1020"/>
    <w:link w:val="822"/>
    <w:uiPriority w:val="99"/>
    <w:qFormat/>
    <w:tblPr/>
  </w:style>
  <w:style w:type="table" w:styleId="1021">
    <w:name w:val="Grid Table 6 Colorful - Accent 1"/>
    <w:basedOn w:val="833"/>
    <w:next w:val="1021"/>
    <w:link w:val="822"/>
    <w:uiPriority w:val="99"/>
    <w:qFormat/>
    <w:tblPr/>
  </w:style>
  <w:style w:type="table" w:styleId="1022">
    <w:name w:val="Grid Table 6 Colorful - Accent 2"/>
    <w:basedOn w:val="833"/>
    <w:next w:val="1022"/>
    <w:link w:val="822"/>
    <w:uiPriority w:val="99"/>
    <w:qFormat/>
    <w:tblPr/>
  </w:style>
  <w:style w:type="table" w:styleId="1023">
    <w:name w:val="Grid Table 6 Colorful - Accent 3"/>
    <w:basedOn w:val="833"/>
    <w:next w:val="1023"/>
    <w:link w:val="822"/>
    <w:uiPriority w:val="99"/>
    <w:qFormat/>
    <w:tblPr/>
  </w:style>
  <w:style w:type="table" w:styleId="1024">
    <w:name w:val="Grid Table 6 Colorful - Accent 4"/>
    <w:basedOn w:val="833"/>
    <w:next w:val="1024"/>
    <w:link w:val="822"/>
    <w:uiPriority w:val="99"/>
    <w:qFormat/>
    <w:tblPr/>
  </w:style>
  <w:style w:type="table" w:styleId="1025">
    <w:name w:val="Grid Table 6 Colorful - Accent 5"/>
    <w:basedOn w:val="833"/>
    <w:next w:val="1025"/>
    <w:link w:val="822"/>
    <w:uiPriority w:val="99"/>
    <w:qFormat/>
    <w:tblPr/>
  </w:style>
  <w:style w:type="table" w:styleId="1026">
    <w:name w:val="Grid Table 6 Colorful - Accent 6"/>
    <w:basedOn w:val="833"/>
    <w:next w:val="1026"/>
    <w:link w:val="822"/>
    <w:uiPriority w:val="99"/>
    <w:qFormat/>
    <w:tblPr/>
  </w:style>
  <w:style w:type="table" w:styleId="1027">
    <w:name w:val="Grid Table 7 Colorful - Accent 1"/>
    <w:basedOn w:val="833"/>
    <w:next w:val="1027"/>
    <w:link w:val="822"/>
    <w:uiPriority w:val="99"/>
    <w:qFormat/>
    <w:tblPr/>
  </w:style>
  <w:style w:type="table" w:styleId="1028">
    <w:name w:val="Grid Table 7 Colorful - Accent 2"/>
    <w:basedOn w:val="833"/>
    <w:next w:val="1028"/>
    <w:link w:val="822"/>
    <w:uiPriority w:val="99"/>
    <w:qFormat/>
    <w:tblPr/>
  </w:style>
  <w:style w:type="table" w:styleId="1029">
    <w:name w:val="Grid Table 7 Colorful - Accent 3"/>
    <w:basedOn w:val="833"/>
    <w:next w:val="1029"/>
    <w:link w:val="822"/>
    <w:uiPriority w:val="99"/>
    <w:qFormat/>
    <w:tblPr/>
  </w:style>
  <w:style w:type="table" w:styleId="1030">
    <w:name w:val="Grid Table 7 Colorful - Accent 4"/>
    <w:basedOn w:val="833"/>
    <w:next w:val="1030"/>
    <w:link w:val="822"/>
    <w:uiPriority w:val="99"/>
    <w:qFormat/>
    <w:tblPr/>
  </w:style>
  <w:style w:type="table" w:styleId="1031">
    <w:name w:val="Grid Table 7 Colorful - Accent 5"/>
    <w:basedOn w:val="833"/>
    <w:next w:val="1031"/>
    <w:link w:val="822"/>
    <w:uiPriority w:val="99"/>
    <w:qFormat/>
    <w:tblPr/>
  </w:style>
  <w:style w:type="table" w:styleId="1032">
    <w:name w:val="Grid Table 7 Colorful - Accent 6"/>
    <w:basedOn w:val="833"/>
    <w:next w:val="1032"/>
    <w:link w:val="822"/>
    <w:uiPriority w:val="99"/>
    <w:qFormat/>
    <w:tblPr/>
  </w:style>
  <w:style w:type="table" w:styleId="1033">
    <w:name w:val="List Table 1 Light - Accent 1"/>
    <w:basedOn w:val="833"/>
    <w:next w:val="1033"/>
    <w:link w:val="822"/>
    <w:uiPriority w:val="99"/>
    <w:qFormat/>
    <w:tblPr/>
  </w:style>
  <w:style w:type="table" w:styleId="1034">
    <w:name w:val="List Table 1 Light - Accent 2"/>
    <w:basedOn w:val="833"/>
    <w:next w:val="1034"/>
    <w:link w:val="822"/>
    <w:uiPriority w:val="99"/>
    <w:qFormat/>
    <w:tblPr/>
  </w:style>
  <w:style w:type="table" w:styleId="1035">
    <w:name w:val="List Table 1 Light - Accent 3"/>
    <w:basedOn w:val="833"/>
    <w:next w:val="1035"/>
    <w:link w:val="822"/>
    <w:uiPriority w:val="99"/>
    <w:qFormat/>
    <w:tblPr/>
  </w:style>
  <w:style w:type="table" w:styleId="1036">
    <w:name w:val="List Table 1 Light - Accent 4"/>
    <w:basedOn w:val="833"/>
    <w:next w:val="1036"/>
    <w:link w:val="822"/>
    <w:uiPriority w:val="99"/>
    <w:qFormat/>
    <w:tblPr/>
  </w:style>
  <w:style w:type="table" w:styleId="1037">
    <w:name w:val="List Table 1 Light - Accent 5"/>
    <w:basedOn w:val="833"/>
    <w:next w:val="1037"/>
    <w:link w:val="822"/>
    <w:uiPriority w:val="99"/>
    <w:qFormat/>
    <w:tblPr/>
  </w:style>
  <w:style w:type="table" w:styleId="1038">
    <w:name w:val="List Table 1 Light - Accent 6"/>
    <w:basedOn w:val="833"/>
    <w:next w:val="1038"/>
    <w:link w:val="822"/>
    <w:uiPriority w:val="99"/>
    <w:qFormat/>
    <w:tblPr/>
  </w:style>
  <w:style w:type="table" w:styleId="1039">
    <w:name w:val="List Table 2 - Accent 1"/>
    <w:basedOn w:val="833"/>
    <w:next w:val="1039"/>
    <w:link w:val="822"/>
    <w:uiPriority w:val="99"/>
    <w:qFormat/>
    <w:tblPr/>
  </w:style>
  <w:style w:type="table" w:styleId="1040">
    <w:name w:val="List Table 2 - Accent 2"/>
    <w:basedOn w:val="833"/>
    <w:next w:val="1040"/>
    <w:link w:val="822"/>
    <w:uiPriority w:val="99"/>
    <w:qFormat/>
    <w:tblPr/>
  </w:style>
  <w:style w:type="table" w:styleId="1041">
    <w:name w:val="List Table 2 - Accent 3"/>
    <w:basedOn w:val="833"/>
    <w:next w:val="1041"/>
    <w:link w:val="822"/>
    <w:uiPriority w:val="99"/>
    <w:qFormat/>
    <w:tblPr/>
  </w:style>
  <w:style w:type="table" w:styleId="1042">
    <w:name w:val="List Table 2 - Accent 4"/>
    <w:basedOn w:val="833"/>
    <w:next w:val="1042"/>
    <w:link w:val="822"/>
    <w:uiPriority w:val="99"/>
    <w:qFormat/>
    <w:tblPr/>
  </w:style>
  <w:style w:type="table" w:styleId="1043">
    <w:name w:val="List Table 2 - Accent 5"/>
    <w:basedOn w:val="833"/>
    <w:next w:val="1043"/>
    <w:link w:val="822"/>
    <w:uiPriority w:val="99"/>
    <w:qFormat/>
    <w:tblPr/>
  </w:style>
  <w:style w:type="table" w:styleId="1044">
    <w:name w:val="List Table 2 - Accent 6"/>
    <w:basedOn w:val="833"/>
    <w:next w:val="1044"/>
    <w:link w:val="822"/>
    <w:uiPriority w:val="99"/>
    <w:qFormat/>
    <w:tblPr/>
  </w:style>
  <w:style w:type="table" w:styleId="1045">
    <w:name w:val="List Table 3 - Accent 1"/>
    <w:basedOn w:val="833"/>
    <w:next w:val="1045"/>
    <w:link w:val="822"/>
    <w:uiPriority w:val="99"/>
    <w:qFormat/>
    <w:tblPr/>
  </w:style>
  <w:style w:type="table" w:styleId="1046">
    <w:name w:val="List Table 3 - Accent 2"/>
    <w:basedOn w:val="833"/>
    <w:next w:val="1046"/>
    <w:link w:val="822"/>
    <w:uiPriority w:val="99"/>
    <w:qFormat/>
    <w:tblPr/>
  </w:style>
  <w:style w:type="table" w:styleId="1047">
    <w:name w:val="List Table 3 - Accent 3"/>
    <w:basedOn w:val="833"/>
    <w:next w:val="1047"/>
    <w:link w:val="822"/>
    <w:uiPriority w:val="99"/>
    <w:qFormat/>
    <w:tblPr/>
  </w:style>
  <w:style w:type="table" w:styleId="1048">
    <w:name w:val="List Table 3 - Accent 4"/>
    <w:basedOn w:val="833"/>
    <w:next w:val="1048"/>
    <w:link w:val="822"/>
    <w:uiPriority w:val="99"/>
    <w:qFormat/>
    <w:tblPr/>
  </w:style>
  <w:style w:type="table" w:styleId="1049">
    <w:name w:val="List Table 3 - Accent 5"/>
    <w:basedOn w:val="833"/>
    <w:next w:val="1049"/>
    <w:link w:val="822"/>
    <w:uiPriority w:val="99"/>
    <w:qFormat/>
    <w:tblPr/>
  </w:style>
  <w:style w:type="table" w:styleId="1050">
    <w:name w:val="List Table 3 - Accent 6"/>
    <w:basedOn w:val="833"/>
    <w:next w:val="1050"/>
    <w:link w:val="822"/>
    <w:uiPriority w:val="99"/>
    <w:qFormat/>
    <w:tblPr/>
  </w:style>
  <w:style w:type="table" w:styleId="1051">
    <w:name w:val="List Table 4 - Accent 1"/>
    <w:basedOn w:val="833"/>
    <w:next w:val="1051"/>
    <w:link w:val="822"/>
    <w:uiPriority w:val="99"/>
    <w:qFormat/>
    <w:tblPr/>
  </w:style>
  <w:style w:type="table" w:styleId="1052">
    <w:name w:val="List Table 4 - Accent 2"/>
    <w:basedOn w:val="833"/>
    <w:next w:val="1052"/>
    <w:link w:val="822"/>
    <w:uiPriority w:val="99"/>
    <w:qFormat/>
    <w:tblPr/>
  </w:style>
  <w:style w:type="table" w:styleId="1053">
    <w:name w:val="List Table 4 - Accent 3"/>
    <w:basedOn w:val="833"/>
    <w:next w:val="1053"/>
    <w:link w:val="822"/>
    <w:uiPriority w:val="99"/>
    <w:qFormat/>
    <w:tblPr/>
  </w:style>
  <w:style w:type="table" w:styleId="1054">
    <w:name w:val="List Table 4 - Accent 4"/>
    <w:basedOn w:val="833"/>
    <w:next w:val="1054"/>
    <w:link w:val="822"/>
    <w:uiPriority w:val="99"/>
    <w:qFormat/>
    <w:tblPr/>
  </w:style>
  <w:style w:type="table" w:styleId="1055">
    <w:name w:val="List Table 4 - Accent 5"/>
    <w:basedOn w:val="833"/>
    <w:next w:val="1055"/>
    <w:link w:val="822"/>
    <w:uiPriority w:val="99"/>
    <w:qFormat/>
    <w:tblPr/>
  </w:style>
  <w:style w:type="table" w:styleId="1056">
    <w:name w:val="List Table 4 - Accent 6"/>
    <w:basedOn w:val="833"/>
    <w:next w:val="1056"/>
    <w:link w:val="822"/>
    <w:uiPriority w:val="99"/>
    <w:qFormat/>
    <w:tblPr/>
  </w:style>
  <w:style w:type="table" w:styleId="1057">
    <w:name w:val="List Table 5 Dark - Accent 1"/>
    <w:basedOn w:val="833"/>
    <w:next w:val="1057"/>
    <w:link w:val="822"/>
    <w:uiPriority w:val="99"/>
    <w:qFormat/>
    <w:tblPr/>
  </w:style>
  <w:style w:type="table" w:styleId="1058">
    <w:name w:val="List Table 5 Dark - Accent 2"/>
    <w:basedOn w:val="833"/>
    <w:next w:val="1058"/>
    <w:link w:val="822"/>
    <w:uiPriority w:val="99"/>
    <w:qFormat/>
    <w:tblPr/>
  </w:style>
  <w:style w:type="table" w:styleId="1059">
    <w:name w:val="List Table 5 Dark - Accent 3"/>
    <w:basedOn w:val="833"/>
    <w:next w:val="1059"/>
    <w:link w:val="822"/>
    <w:uiPriority w:val="99"/>
    <w:qFormat/>
    <w:tblPr/>
  </w:style>
  <w:style w:type="table" w:styleId="1060">
    <w:name w:val="List Table 5 Dark - Accent 4"/>
    <w:basedOn w:val="833"/>
    <w:next w:val="1060"/>
    <w:link w:val="822"/>
    <w:uiPriority w:val="99"/>
    <w:qFormat/>
    <w:tblPr/>
  </w:style>
  <w:style w:type="table" w:styleId="1061">
    <w:name w:val="List Table 5 Dark - Accent 5"/>
    <w:basedOn w:val="833"/>
    <w:next w:val="1061"/>
    <w:link w:val="822"/>
    <w:uiPriority w:val="99"/>
    <w:qFormat/>
    <w:tblPr/>
  </w:style>
  <w:style w:type="table" w:styleId="1062">
    <w:name w:val="List Table 5 Dark - Accent 6"/>
    <w:basedOn w:val="833"/>
    <w:next w:val="1062"/>
    <w:link w:val="822"/>
    <w:uiPriority w:val="99"/>
    <w:qFormat/>
    <w:tblPr/>
  </w:style>
  <w:style w:type="table" w:styleId="1063">
    <w:name w:val="List Table 6 Colorful - Accent 1"/>
    <w:basedOn w:val="833"/>
    <w:next w:val="1063"/>
    <w:link w:val="822"/>
    <w:uiPriority w:val="99"/>
    <w:qFormat/>
    <w:tblPr/>
  </w:style>
  <w:style w:type="table" w:styleId="1064">
    <w:name w:val="List Table 6 Colorful - Accent 2"/>
    <w:basedOn w:val="833"/>
    <w:next w:val="1064"/>
    <w:link w:val="822"/>
    <w:uiPriority w:val="99"/>
    <w:qFormat/>
    <w:tblPr/>
  </w:style>
  <w:style w:type="table" w:styleId="1065">
    <w:name w:val="List Table 6 Colorful - Accent 3"/>
    <w:basedOn w:val="833"/>
    <w:next w:val="1065"/>
    <w:link w:val="822"/>
    <w:uiPriority w:val="99"/>
    <w:qFormat/>
    <w:tblPr/>
  </w:style>
  <w:style w:type="table" w:styleId="1066">
    <w:name w:val="List Table 6 Colorful - Accent 4"/>
    <w:basedOn w:val="833"/>
    <w:next w:val="1066"/>
    <w:link w:val="822"/>
    <w:uiPriority w:val="99"/>
    <w:qFormat/>
    <w:tblPr/>
  </w:style>
  <w:style w:type="table" w:styleId="1067">
    <w:name w:val="List Table 6 Colorful - Accent 5"/>
    <w:basedOn w:val="833"/>
    <w:next w:val="1067"/>
    <w:link w:val="822"/>
    <w:uiPriority w:val="99"/>
    <w:qFormat/>
    <w:tblPr/>
  </w:style>
  <w:style w:type="table" w:styleId="1068">
    <w:name w:val="List Table 6 Colorful - Accent 6"/>
    <w:basedOn w:val="833"/>
    <w:next w:val="1068"/>
    <w:link w:val="822"/>
    <w:uiPriority w:val="99"/>
    <w:qFormat/>
    <w:tblPr/>
  </w:style>
  <w:style w:type="table" w:styleId="1069">
    <w:name w:val="List Table 7 Colorful - Accent 1"/>
    <w:basedOn w:val="833"/>
    <w:next w:val="1069"/>
    <w:link w:val="822"/>
    <w:uiPriority w:val="99"/>
    <w:qFormat/>
    <w:tblPr/>
  </w:style>
  <w:style w:type="table" w:styleId="1070">
    <w:name w:val="List Table 7 Colorful - Accent 2"/>
    <w:basedOn w:val="833"/>
    <w:next w:val="1070"/>
    <w:link w:val="822"/>
    <w:uiPriority w:val="99"/>
    <w:qFormat/>
    <w:tblPr/>
  </w:style>
  <w:style w:type="table" w:styleId="1071">
    <w:name w:val="List Table 7 Colorful - Accent 3"/>
    <w:basedOn w:val="833"/>
    <w:next w:val="1071"/>
    <w:link w:val="822"/>
    <w:uiPriority w:val="99"/>
    <w:qFormat/>
    <w:tblPr/>
  </w:style>
  <w:style w:type="table" w:styleId="1072">
    <w:name w:val="List Table 7 Colorful - Accent 4"/>
    <w:basedOn w:val="833"/>
    <w:next w:val="1072"/>
    <w:link w:val="822"/>
    <w:uiPriority w:val="99"/>
    <w:qFormat/>
    <w:tblPr/>
  </w:style>
  <w:style w:type="table" w:styleId="1073">
    <w:name w:val="List Table 7 Colorful - Accent 5"/>
    <w:basedOn w:val="833"/>
    <w:next w:val="1073"/>
    <w:link w:val="822"/>
    <w:uiPriority w:val="99"/>
    <w:qFormat/>
    <w:tblPr/>
  </w:style>
  <w:style w:type="table" w:styleId="1074">
    <w:name w:val="List Table 7 Colorful - Accent 6"/>
    <w:basedOn w:val="833"/>
    <w:next w:val="1074"/>
    <w:link w:val="822"/>
    <w:uiPriority w:val="99"/>
    <w:qFormat/>
    <w:tblPr/>
  </w:style>
  <w:style w:type="table" w:styleId="1075">
    <w:name w:val="Lined - Accent"/>
    <w:basedOn w:val="833"/>
    <w:next w:val="1075"/>
    <w:link w:val="822"/>
    <w:uiPriority w:val="99"/>
    <w:qFormat/>
    <w:rPr>
      <w:color w:val="404040"/>
    </w:rPr>
    <w:tblPr/>
  </w:style>
  <w:style w:type="table" w:styleId="1076">
    <w:name w:val="Lined - Accent 1"/>
    <w:basedOn w:val="833"/>
    <w:next w:val="1076"/>
    <w:link w:val="822"/>
    <w:uiPriority w:val="99"/>
    <w:qFormat/>
    <w:rPr>
      <w:color w:val="404040"/>
    </w:rPr>
    <w:tblPr/>
  </w:style>
  <w:style w:type="table" w:styleId="1077">
    <w:name w:val="Lined - Accent 2"/>
    <w:basedOn w:val="833"/>
    <w:next w:val="1077"/>
    <w:link w:val="822"/>
    <w:uiPriority w:val="99"/>
    <w:qFormat/>
    <w:rPr>
      <w:color w:val="404040"/>
    </w:rPr>
    <w:tblPr/>
  </w:style>
  <w:style w:type="table" w:styleId="1078">
    <w:name w:val="Lined - Accent 3"/>
    <w:basedOn w:val="833"/>
    <w:next w:val="1078"/>
    <w:link w:val="822"/>
    <w:uiPriority w:val="99"/>
    <w:qFormat/>
    <w:rPr>
      <w:color w:val="404040"/>
    </w:rPr>
    <w:tblPr/>
  </w:style>
  <w:style w:type="table" w:styleId="1079">
    <w:name w:val="Lined - Accent 4"/>
    <w:basedOn w:val="833"/>
    <w:next w:val="1079"/>
    <w:link w:val="822"/>
    <w:uiPriority w:val="99"/>
    <w:qFormat/>
    <w:rPr>
      <w:color w:val="404040"/>
    </w:rPr>
    <w:tblPr/>
  </w:style>
  <w:style w:type="table" w:styleId="1080">
    <w:name w:val="Lined - Accent 5"/>
    <w:basedOn w:val="833"/>
    <w:next w:val="1080"/>
    <w:link w:val="822"/>
    <w:uiPriority w:val="99"/>
    <w:qFormat/>
    <w:rPr>
      <w:color w:val="404040"/>
    </w:rPr>
    <w:tblPr/>
  </w:style>
  <w:style w:type="table" w:styleId="1081">
    <w:name w:val="Lined - Accent 6"/>
    <w:basedOn w:val="833"/>
    <w:next w:val="1081"/>
    <w:link w:val="822"/>
    <w:uiPriority w:val="99"/>
    <w:qFormat/>
    <w:rPr>
      <w:color w:val="404040"/>
    </w:rPr>
    <w:tblPr/>
  </w:style>
  <w:style w:type="table" w:styleId="1082">
    <w:name w:val="Bordered &amp; Lined - Accent"/>
    <w:basedOn w:val="833"/>
    <w:next w:val="1082"/>
    <w:link w:val="822"/>
    <w:uiPriority w:val="99"/>
    <w:qFormat/>
    <w:rPr>
      <w:color w:val="404040"/>
    </w:rPr>
    <w:tblPr/>
  </w:style>
  <w:style w:type="table" w:styleId="1083">
    <w:name w:val="Bordered &amp; Lined - Accent 1"/>
    <w:basedOn w:val="833"/>
    <w:next w:val="1083"/>
    <w:link w:val="822"/>
    <w:uiPriority w:val="99"/>
    <w:qFormat/>
    <w:rPr>
      <w:color w:val="404040"/>
    </w:rPr>
    <w:tblPr/>
  </w:style>
  <w:style w:type="table" w:styleId="1084">
    <w:name w:val="Bordered &amp; Lined - Accent 2"/>
    <w:basedOn w:val="833"/>
    <w:next w:val="1084"/>
    <w:link w:val="822"/>
    <w:uiPriority w:val="99"/>
    <w:qFormat/>
    <w:rPr>
      <w:color w:val="404040"/>
    </w:rPr>
    <w:tblPr/>
  </w:style>
  <w:style w:type="table" w:styleId="1085">
    <w:name w:val="Bordered &amp; Lined - Accent 3"/>
    <w:basedOn w:val="833"/>
    <w:next w:val="1085"/>
    <w:link w:val="822"/>
    <w:uiPriority w:val="99"/>
    <w:qFormat/>
    <w:rPr>
      <w:color w:val="404040"/>
    </w:rPr>
    <w:tblPr/>
  </w:style>
  <w:style w:type="table" w:styleId="1086">
    <w:name w:val="Bordered &amp; Lined - Accent 4"/>
    <w:basedOn w:val="833"/>
    <w:next w:val="1086"/>
    <w:link w:val="822"/>
    <w:uiPriority w:val="99"/>
    <w:qFormat/>
    <w:rPr>
      <w:color w:val="404040"/>
    </w:rPr>
    <w:tblPr/>
  </w:style>
  <w:style w:type="table" w:styleId="1087">
    <w:name w:val="Bordered &amp; Lined - Accent 5"/>
    <w:basedOn w:val="833"/>
    <w:next w:val="1087"/>
    <w:link w:val="822"/>
    <w:uiPriority w:val="99"/>
    <w:qFormat/>
    <w:rPr>
      <w:color w:val="404040"/>
    </w:rPr>
    <w:tblPr/>
  </w:style>
  <w:style w:type="table" w:styleId="1088">
    <w:name w:val="Bordered &amp; Lined - Accent 6"/>
    <w:basedOn w:val="833"/>
    <w:next w:val="1088"/>
    <w:link w:val="822"/>
    <w:uiPriority w:val="99"/>
    <w:qFormat/>
    <w:rPr>
      <w:color w:val="404040"/>
    </w:rPr>
    <w:tblPr/>
  </w:style>
  <w:style w:type="table" w:styleId="1089">
    <w:name w:val="Bordered"/>
    <w:basedOn w:val="833"/>
    <w:next w:val="1089"/>
    <w:link w:val="822"/>
    <w:uiPriority w:val="99"/>
    <w:qFormat/>
    <w:tblPr/>
  </w:style>
  <w:style w:type="table" w:styleId="1090">
    <w:name w:val="Bordered - Accent 1"/>
    <w:basedOn w:val="833"/>
    <w:next w:val="1090"/>
    <w:link w:val="822"/>
    <w:uiPriority w:val="99"/>
    <w:qFormat/>
    <w:tblPr/>
  </w:style>
  <w:style w:type="table" w:styleId="1091">
    <w:name w:val="Bordered - Accent 2"/>
    <w:basedOn w:val="833"/>
    <w:next w:val="1091"/>
    <w:link w:val="822"/>
    <w:uiPriority w:val="99"/>
    <w:qFormat/>
    <w:tblPr/>
  </w:style>
  <w:style w:type="table" w:styleId="1092">
    <w:name w:val="Bordered - Accent 3"/>
    <w:basedOn w:val="833"/>
    <w:next w:val="1092"/>
    <w:link w:val="822"/>
    <w:uiPriority w:val="99"/>
    <w:qFormat/>
    <w:tblPr/>
  </w:style>
  <w:style w:type="table" w:styleId="1093">
    <w:name w:val="Bordered - Accent 4"/>
    <w:basedOn w:val="833"/>
    <w:next w:val="1093"/>
    <w:link w:val="822"/>
    <w:uiPriority w:val="99"/>
    <w:qFormat/>
    <w:tblPr/>
  </w:style>
  <w:style w:type="table" w:styleId="1094">
    <w:name w:val="Bordered - Accent 5"/>
    <w:basedOn w:val="833"/>
    <w:next w:val="1094"/>
    <w:link w:val="822"/>
    <w:uiPriority w:val="99"/>
    <w:qFormat/>
    <w:tblPr/>
  </w:style>
  <w:style w:type="table" w:styleId="1095">
    <w:name w:val="Bordered - Accent 6"/>
    <w:basedOn w:val="833"/>
    <w:next w:val="1095"/>
    <w:link w:val="822"/>
    <w:uiPriority w:val="99"/>
    <w:qFormat/>
    <w:tblPr/>
  </w:style>
  <w:style w:type="paragraph" w:styleId="1096">
    <w:name w:val="TOC 标题11"/>
    <w:next w:val="1096"/>
    <w:link w:val="822"/>
    <w:uiPriority w:val="39"/>
    <w:unhideWhenUsed/>
    <w:qFormat/>
    <w:rPr>
      <w:lang w:val="en-US" w:eastAsia="zh-CN" w:bidi="ar-SA"/>
    </w:rPr>
  </w:style>
  <w:style w:type="paragraph" w:styleId="1097">
    <w:name w:val="Normal_0"/>
    <w:next w:val="1097"/>
    <w:link w:val="822"/>
    <w:qFormat/>
    <w:rPr>
      <w:rFonts w:ascii="黑体" w:hAnsi="黑体" w:eastAsia="黑体"/>
      <w:b/>
      <w:sz w:val="32"/>
      <w:szCs w:val="24"/>
      <w:lang w:val="en-US" w:eastAsia="zh-CN" w:bidi="ar-SA"/>
    </w:rPr>
  </w:style>
  <w:style w:type="paragraph" w:styleId="1098">
    <w:name w:val="正文1"/>
    <w:next w:val="842"/>
    <w:link w:val="822"/>
    <w:qFormat/>
    <w:rPr>
      <w:rFonts w:eastAsia="Times New Roman"/>
      <w:sz w:val="24"/>
      <w:szCs w:val="24"/>
      <w:lang w:val="en-US" w:eastAsia="zh-CN" w:bidi="ar-SA"/>
    </w:rPr>
  </w:style>
  <w:style w:type="paragraph" w:styleId="1099">
    <w:name w:val="Normal_0_3"/>
    <w:next w:val="1099"/>
    <w:link w:val="822"/>
    <w:qFormat/>
    <w:rPr>
      <w:rFonts w:ascii="黑体" w:hAnsi="黑体" w:eastAsia="黑体" w:cs="黑体"/>
      <w:b/>
      <w:sz w:val="32"/>
      <w:szCs w:val="24"/>
      <w:lang w:val="en-US" w:eastAsia="zh-CN" w:bidi="ar-SA"/>
    </w:rPr>
  </w:style>
  <w:style w:type="paragraph" w:styleId="1100">
    <w:name w:val="正文首行缩进 2_0"/>
    <w:basedOn w:val="1101"/>
    <w:next w:val="1100"/>
    <w:link w:val="822"/>
    <w:qFormat/>
    <w:pPr>
      <w:ind w:left="200" w:firstLine="200"/>
      <w:spacing w:after="120"/>
    </w:pPr>
    <w:rPr>
      <w:rFonts w:ascii="Times New Roman" w:hAnsi="Times New Roman"/>
      <w:sz w:val="24"/>
      <w:szCs w:val="24"/>
    </w:rPr>
  </w:style>
  <w:style w:type="paragraph" w:styleId="1101">
    <w:name w:val="正文文本缩进_0"/>
    <w:basedOn w:val="1102"/>
    <w:next w:val="1101"/>
    <w:link w:val="822"/>
    <w:qFormat/>
    <w:pPr>
      <w:ind w:firstLine="225"/>
    </w:pPr>
    <w:rPr>
      <w:rFonts w:ascii="仿宋_GB2312" w:eastAsia="仿宋_GB2312"/>
      <w:sz w:val="32"/>
    </w:rPr>
  </w:style>
  <w:style w:type="paragraph" w:styleId="1102">
    <w:name w:val="正文_2"/>
    <w:next w:val="1103"/>
    <w:link w:val="822"/>
    <w:qFormat/>
    <w:pPr>
      <w:jc w:val="both"/>
      <w:widowControl w:val="off"/>
    </w:pPr>
    <w:rPr>
      <w:rFonts w:ascii="Calibri" w:hAnsi="Calibri"/>
      <w:sz w:val="21"/>
      <w:szCs w:val="22"/>
      <w:lang w:val="en-US" w:eastAsia="zh-CN" w:bidi="ar-SA"/>
    </w:rPr>
  </w:style>
  <w:style w:type="paragraph" w:styleId="1103">
    <w:name w:val="文本块_0"/>
    <w:basedOn w:val="1102"/>
    <w:next w:val="1103"/>
    <w:link w:val="822"/>
    <w:qFormat/>
    <w:pPr>
      <w:ind w:left="1548" w:right="12" w:hanging="2405"/>
      <w:spacing w:line="360" w:lineRule="exact"/>
    </w:pPr>
    <w:rPr>
      <w:rFonts w:ascii="宋体"/>
      <w:bCs/>
      <w:sz w:val="28"/>
    </w:rPr>
  </w:style>
  <w:style w:type="paragraph" w:styleId="1104">
    <w:name w:val="Normal_0_2"/>
    <w:next w:val="1105"/>
    <w:link w:val="822"/>
    <w:qFormat/>
    <w:rPr>
      <w:rFonts w:ascii="黑体" w:hAnsi="黑体" w:eastAsia="黑体" w:cs="黑体"/>
      <w:b/>
      <w:sz w:val="32"/>
      <w:szCs w:val="24"/>
      <w:lang w:val="en-US" w:eastAsia="zh-CN" w:bidi="ar-SA"/>
    </w:rPr>
  </w:style>
  <w:style w:type="paragraph" w:styleId="1105">
    <w:name w:val="Body Text First Indent_1"/>
    <w:basedOn w:val="841"/>
    <w:next w:val="1105"/>
    <w:link w:val="822"/>
    <w:uiPriority w:val="99"/>
    <w:unhideWhenUsed/>
    <w:qFormat/>
    <w:pPr>
      <w:ind w:firstLine="420"/>
      <w:spacing w:after="120"/>
    </w:pPr>
    <w:rPr>
      <w:rFonts w:eastAsia="Times New Roman"/>
      <w:sz w:val="20"/>
    </w:rPr>
  </w:style>
  <w:style w:type="paragraph" w:styleId="1106">
    <w:name w:val="Normal_1_2"/>
    <w:next w:val="1106"/>
    <w:link w:val="822"/>
    <w:qFormat/>
    <w:rPr>
      <w:rFonts w:eastAsia="Times New Roman"/>
      <w:sz w:val="24"/>
      <w:szCs w:val="24"/>
      <w:lang w:val="en-US" w:eastAsia="zh-CN" w:bidi="ar-SA"/>
    </w:rPr>
  </w:style>
  <w:style w:type="paragraph" w:styleId="1107">
    <w:name w:val="Normal_0_1"/>
    <w:next w:val="1108"/>
    <w:link w:val="822"/>
    <w:qFormat/>
    <w:rPr>
      <w:rFonts w:ascii="黑体" w:hAnsi="黑体" w:eastAsia="黑体" w:cs="黑体"/>
      <w:b/>
      <w:sz w:val="32"/>
      <w:szCs w:val="24"/>
      <w:lang w:val="en-US" w:eastAsia="zh-CN" w:bidi="ar-SA"/>
    </w:rPr>
  </w:style>
  <w:style w:type="paragraph" w:styleId="1108">
    <w:name w:val="Body Text First Indent_0"/>
    <w:basedOn w:val="1109"/>
    <w:next w:val="1108"/>
    <w:link w:val="822"/>
    <w:uiPriority w:val="99"/>
    <w:unhideWhenUsed/>
    <w:qFormat/>
    <w:pPr>
      <w:ind w:firstLine="420"/>
      <w:spacing w:after="120"/>
    </w:pPr>
    <w:rPr>
      <w:rFonts w:eastAsia="Times New Roman"/>
    </w:rPr>
  </w:style>
  <w:style w:type="paragraph" w:styleId="1109">
    <w:name w:val="正文3"/>
    <w:next w:val="1110"/>
    <w:link w:val="822"/>
    <w:qFormat/>
    <w:rPr>
      <w:rFonts w:eastAsia="Times New Roman"/>
      <w:sz w:val="24"/>
      <w:szCs w:val="24"/>
      <w:lang w:val="en-US" w:eastAsia="zh-CN" w:bidi="ar-SA"/>
    </w:rPr>
  </w:style>
  <w:style w:type="paragraph" w:styleId="1110">
    <w:name w:val="正文首行缩进3"/>
    <w:basedOn w:val="1098"/>
    <w:next w:val="1110"/>
    <w:link w:val="822"/>
    <w:uiPriority w:val="99"/>
    <w:unhideWhenUsed/>
    <w:qFormat/>
    <w:pPr>
      <w:ind w:firstLine="420"/>
      <w:spacing w:after="120"/>
    </w:pPr>
    <w:rPr>
      <w:sz w:val="20"/>
    </w:rPr>
  </w:style>
  <w:style w:type="paragraph" w:styleId="1111">
    <w:name w:val="Normal_1_1"/>
    <w:next w:val="1111"/>
    <w:link w:val="822"/>
    <w:qFormat/>
    <w:rPr>
      <w:rFonts w:ascii="黑体" w:hAnsi="黑体" w:eastAsia="黑体" w:cs="黑体"/>
      <w:b/>
      <w:sz w:val="32"/>
      <w:szCs w:val="24"/>
      <w:lang w:val="en-US" w:eastAsia="zh-CN" w:bidi="ar-SA"/>
    </w:rPr>
  </w:style>
  <w:style w:type="paragraph" w:styleId="1112">
    <w:name w:val="正文_0_1"/>
    <w:next w:val="1112"/>
    <w:link w:val="822"/>
    <w:qFormat/>
    <w:pPr>
      <w:jc w:val="both"/>
      <w:widowControl w:val="off"/>
    </w:pPr>
    <w:rPr>
      <w:rFonts w:ascii="Calibri" w:hAnsi="Calibri"/>
      <w:sz w:val="21"/>
      <w:szCs w:val="22"/>
      <w:lang w:val="en-US" w:eastAsia="zh-CN" w:bidi="ar-SA"/>
    </w:rPr>
  </w:style>
  <w:style w:type="paragraph" w:styleId="1113">
    <w:name w:val="正文_1_1"/>
    <w:next w:val="1113"/>
    <w:link w:val="822"/>
    <w:qFormat/>
    <w:pPr>
      <w:jc w:val="both"/>
      <w:widowControl w:val="off"/>
    </w:pPr>
    <w:rPr>
      <w:rFonts w:ascii="Calibri" w:hAnsi="Calibri"/>
      <w:sz w:val="21"/>
      <w:szCs w:val="22"/>
      <w:lang w:val="en-US" w:eastAsia="zh-CN" w:bidi="ar-SA"/>
    </w:rPr>
  </w:style>
  <w:style w:type="paragraph" w:styleId="1114">
    <w:name w:val="Normal_2_0"/>
    <w:next w:val="1114"/>
    <w:link w:val="822"/>
    <w:qFormat/>
    <w:rPr>
      <w:rFonts w:ascii="黑体" w:hAnsi="黑体" w:eastAsia="黑体" w:cs="黑体"/>
      <w:b/>
      <w:sz w:val="32"/>
      <w:szCs w:val="24"/>
      <w:lang w:val="en-US" w:eastAsia="zh-CN" w:bidi="ar-SA"/>
    </w:rPr>
  </w:style>
  <w:style w:type="paragraph" w:styleId="1115">
    <w:name w:val="Normal_3_0"/>
    <w:next w:val="1115"/>
    <w:link w:val="822"/>
    <w:qFormat/>
    <w:pPr>
      <w:jc w:val="both"/>
      <w:widowControl w:val="off"/>
    </w:pPr>
    <w:rPr>
      <w:rFonts w:ascii="Calibri" w:hAnsi="Calibri"/>
      <w:sz w:val="21"/>
      <w:szCs w:val="22"/>
      <w:lang w:val="en-US" w:eastAsia="zh-CN" w:bidi="ar-SA"/>
    </w:rPr>
  </w:style>
  <w:style w:type="paragraph" w:styleId="1116">
    <w:name w:val="Normal_4_0"/>
    <w:next w:val="1116"/>
    <w:link w:val="822"/>
    <w:qFormat/>
    <w:rPr>
      <w:rFonts w:ascii="黑体" w:hAnsi="黑体" w:eastAsia="黑体" w:cs="黑体"/>
      <w:b/>
      <w:sz w:val="32"/>
      <w:szCs w:val="24"/>
      <w:lang w:val="en-US" w:eastAsia="zh-CN" w:bidi="ar-SA"/>
    </w:rPr>
  </w:style>
  <w:style w:type="paragraph" w:styleId="1117">
    <w:name w:val="Normal_5_0"/>
    <w:next w:val="1117"/>
    <w:link w:val="822"/>
    <w:qFormat/>
    <w:pPr>
      <w:jc w:val="both"/>
      <w:widowControl w:val="off"/>
    </w:pPr>
    <w:rPr>
      <w:rFonts w:ascii="Calibri" w:hAnsi="Calibri"/>
      <w:sz w:val="21"/>
      <w:szCs w:val="22"/>
      <w:lang w:val="en-US" w:eastAsia="zh-CN" w:bidi="ar-SA"/>
    </w:rPr>
  </w:style>
  <w:style w:type="paragraph" w:styleId="1118">
    <w:name w:val="Normal_6_0"/>
    <w:next w:val="1118"/>
    <w:link w:val="822"/>
    <w:qFormat/>
    <w:rPr>
      <w:rFonts w:ascii="黑体" w:hAnsi="黑体" w:eastAsia="黑体" w:cs="黑体"/>
      <w:b/>
      <w:sz w:val="32"/>
      <w:szCs w:val="24"/>
      <w:lang w:val="en-US" w:eastAsia="zh-CN" w:bidi="ar-SA"/>
    </w:rPr>
  </w:style>
  <w:style w:type="paragraph" w:styleId="1119">
    <w:name w:val="正文_1_0_0"/>
    <w:next w:val="1119"/>
    <w:link w:val="822"/>
    <w:qFormat/>
    <w:pPr>
      <w:jc w:val="both"/>
      <w:widowControl w:val="off"/>
    </w:pPr>
    <w:rPr>
      <w:sz w:val="21"/>
      <w:lang w:val="en-US" w:eastAsia="zh-CN" w:bidi="ar-SA"/>
    </w:rPr>
  </w:style>
  <w:style w:type="paragraph" w:styleId="1120">
    <w:name w:val="正文_0_0_0_0"/>
    <w:next w:val="1120"/>
    <w:link w:val="822"/>
    <w:qFormat/>
    <w:pPr>
      <w:jc w:val="both"/>
      <w:widowControl w:val="off"/>
    </w:pPr>
    <w:rPr>
      <w:sz w:val="21"/>
      <w:szCs w:val="24"/>
      <w:lang w:val="en-US" w:eastAsia="zh-CN" w:bidi="ar-SA"/>
    </w:rPr>
  </w:style>
  <w:style w:type="paragraph" w:styleId="1121">
    <w:name w:val="正文_1_0_0_0"/>
    <w:next w:val="1121"/>
    <w:link w:val="822"/>
    <w:qFormat/>
    <w:pPr>
      <w:jc w:val="both"/>
      <w:widowControl w:val="off"/>
    </w:pPr>
    <w:rPr>
      <w:sz w:val="21"/>
      <w:lang w:val="en-US" w:eastAsia="zh-CN" w:bidi="ar-SA"/>
    </w:rPr>
  </w:style>
  <w:style w:type="paragraph" w:styleId="1122">
    <w:name w:val="Normal_7_0"/>
    <w:next w:val="1122"/>
    <w:link w:val="822"/>
    <w:qFormat/>
    <w:rPr>
      <w:rFonts w:ascii="黑体" w:hAnsi="黑体" w:eastAsia="黑体" w:cs="黑体"/>
      <w:b/>
      <w:sz w:val="32"/>
      <w:szCs w:val="24"/>
      <w:lang w:val="en-US" w:eastAsia="zh-CN" w:bidi="ar-SA"/>
    </w:rPr>
  </w:style>
  <w:style w:type="paragraph" w:styleId="1123">
    <w:name w:val="Normal_8_0"/>
    <w:next w:val="1123"/>
    <w:link w:val="822"/>
    <w:qFormat/>
    <w:rPr>
      <w:rFonts w:eastAsia="Times New Roman"/>
      <w:sz w:val="24"/>
      <w:szCs w:val="24"/>
      <w:lang w:val="en-US" w:eastAsia="zh-CN" w:bidi="ar-SA"/>
    </w:rPr>
  </w:style>
  <w:style w:type="paragraph" w:styleId="1124">
    <w:name w:val="Normal_9_0"/>
    <w:next w:val="1124"/>
    <w:link w:val="822"/>
    <w:qFormat/>
    <w:rPr>
      <w:rFonts w:eastAsia="Times New Roman"/>
      <w:sz w:val="24"/>
      <w:szCs w:val="24"/>
      <w:lang w:val="en-US" w:eastAsia="zh-CN" w:bidi="ar-SA"/>
    </w:rPr>
  </w:style>
  <w:style w:type="paragraph" w:styleId="1125">
    <w:name w:val="Normal_10_0"/>
    <w:next w:val="1125"/>
    <w:link w:val="822"/>
    <w:qFormat/>
    <w:rPr>
      <w:rFonts w:ascii="黑体" w:hAnsi="黑体" w:eastAsia="黑体" w:cs="黑体"/>
      <w:b/>
      <w:sz w:val="32"/>
      <w:szCs w:val="24"/>
      <w:lang w:val="en-US" w:eastAsia="zh-CN" w:bidi="ar-SA"/>
    </w:rPr>
  </w:style>
  <w:style w:type="paragraph" w:styleId="1126">
    <w:name w:val="正文_3"/>
    <w:next w:val="1127"/>
    <w:link w:val="822"/>
    <w:qFormat/>
    <w:pPr>
      <w:jc w:val="both"/>
      <w:widowControl w:val="off"/>
    </w:pPr>
    <w:rPr>
      <w:rFonts w:ascii="Calibri" w:hAnsi="Calibri"/>
      <w:sz w:val="21"/>
      <w:szCs w:val="22"/>
      <w:lang w:val="en-US" w:eastAsia="zh-CN" w:bidi="ar-SA"/>
    </w:rPr>
  </w:style>
  <w:style w:type="paragraph" w:styleId="1127">
    <w:name w:val="正文首行缩进 2_1"/>
    <w:basedOn w:val="1128"/>
    <w:next w:val="1130"/>
    <w:link w:val="822"/>
    <w:qFormat/>
    <w:pPr>
      <w:ind w:left="200" w:firstLine="200"/>
      <w:spacing w:after="120"/>
    </w:pPr>
    <w:rPr>
      <w:rFonts w:ascii="Times New Roman"/>
      <w:szCs w:val="24"/>
    </w:rPr>
  </w:style>
  <w:style w:type="paragraph" w:styleId="1128">
    <w:name w:val="正文文本缩进_1"/>
    <w:basedOn w:val="1129"/>
    <w:next w:val="1127"/>
    <w:link w:val="822"/>
    <w:qFormat/>
    <w:pPr>
      <w:ind w:firstLine="225"/>
    </w:pPr>
    <w:rPr>
      <w:rFonts w:ascii="仿宋_GB2312" w:eastAsia="仿宋_GB2312"/>
      <w:sz w:val="32"/>
    </w:rPr>
  </w:style>
  <w:style w:type="paragraph" w:styleId="1129">
    <w:name w:val="正文_18"/>
    <w:next w:val="1128"/>
    <w:link w:val="822"/>
    <w:qFormat/>
    <w:pPr>
      <w:jc w:val="both"/>
      <w:widowControl w:val="off"/>
    </w:pPr>
    <w:rPr>
      <w:rFonts w:ascii="Calibri" w:hAnsi="Calibri"/>
      <w:sz w:val="21"/>
      <w:szCs w:val="22"/>
      <w:lang w:val="en-US" w:eastAsia="zh-CN" w:bidi="ar-SA"/>
    </w:rPr>
  </w:style>
  <w:style w:type="paragraph" w:styleId="1130">
    <w:name w:val="xl53_0"/>
    <w:next w:val="1126"/>
    <w:link w:val="822"/>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31">
    <w:name w:val="正文_4_0"/>
    <w:next w:val="1131"/>
    <w:link w:val="822"/>
    <w:qFormat/>
    <w:pPr>
      <w:jc w:val="both"/>
      <w:widowControl w:val="off"/>
    </w:pPr>
    <w:rPr>
      <w:rFonts w:ascii="Calibri" w:hAnsi="Calibri"/>
      <w:sz w:val="21"/>
      <w:szCs w:val="22"/>
      <w:lang w:val="en-US" w:eastAsia="zh-CN" w:bidi="ar-SA"/>
    </w:rPr>
  </w:style>
  <w:style w:type="paragraph" w:styleId="1132">
    <w:name w:val="Normal_11_0"/>
    <w:next w:val="1132"/>
    <w:link w:val="822"/>
    <w:qFormat/>
    <w:rPr>
      <w:rFonts w:ascii="黑体" w:hAnsi="黑体" w:eastAsia="黑体" w:cs="黑体"/>
      <w:b/>
      <w:sz w:val="32"/>
      <w:szCs w:val="24"/>
      <w:lang w:val="en-US" w:eastAsia="zh-CN" w:bidi="ar-SA"/>
    </w:rPr>
  </w:style>
  <w:style w:type="paragraph" w:styleId="1133">
    <w:name w:val="Normal_12_0"/>
    <w:next w:val="1133"/>
    <w:link w:val="822"/>
    <w:qFormat/>
    <w:pPr>
      <w:jc w:val="both"/>
      <w:widowControl w:val="off"/>
    </w:pPr>
    <w:rPr>
      <w:rFonts w:ascii="Calibri" w:hAnsi="Calibri"/>
      <w:sz w:val="21"/>
      <w:szCs w:val="22"/>
      <w:lang w:val="en-US" w:eastAsia="zh-CN" w:bidi="ar-SA"/>
    </w:rPr>
  </w:style>
  <w:style w:type="paragraph" w:styleId="1134">
    <w:name w:val="正文_9_0"/>
    <w:next w:val="1134"/>
    <w:link w:val="822"/>
    <w:qFormat/>
    <w:pPr>
      <w:jc w:val="both"/>
      <w:widowControl w:val="off"/>
    </w:pPr>
    <w:rPr>
      <w:rFonts w:ascii="Calibri" w:hAnsi="Calibri"/>
      <w:sz w:val="21"/>
      <w:szCs w:val="22"/>
      <w:lang w:val="en-US" w:eastAsia="zh-CN" w:bidi="ar-SA"/>
    </w:rPr>
  </w:style>
  <w:style w:type="paragraph" w:styleId="1135">
    <w:name w:val="正文_8_1"/>
    <w:next w:val="1135"/>
    <w:link w:val="822"/>
    <w:qFormat/>
    <w:pPr>
      <w:jc w:val="both"/>
      <w:widowControl w:val="off"/>
    </w:pPr>
    <w:rPr>
      <w:rFonts w:ascii="Calibri" w:hAnsi="Calibri"/>
      <w:sz w:val="21"/>
      <w:szCs w:val="22"/>
      <w:lang w:val="en-US" w:eastAsia="zh-CN" w:bidi="ar-SA"/>
    </w:rPr>
  </w:style>
  <w:style w:type="paragraph" w:styleId="1136">
    <w:name w:val="正文_1_0_0_0_0"/>
    <w:next w:val="1136"/>
    <w:link w:val="822"/>
    <w:qFormat/>
    <w:pPr>
      <w:jc w:val="both"/>
      <w:widowControl w:val="off"/>
    </w:pPr>
    <w:rPr>
      <w:sz w:val="21"/>
      <w:lang w:val="en-US" w:eastAsia="zh-CN" w:bidi="ar-SA"/>
    </w:rPr>
  </w:style>
  <w:style w:type="paragraph" w:styleId="1137">
    <w:name w:val="列出段落_2"/>
    <w:basedOn w:val="1135"/>
    <w:next w:val="1137"/>
    <w:link w:val="822"/>
    <w:uiPriority w:val="34"/>
    <w:qFormat/>
    <w:pPr>
      <w:ind w:firstLine="420"/>
    </w:pPr>
  </w:style>
  <w:style w:type="paragraph" w:styleId="1138">
    <w:name w:val="Normal_13_0"/>
    <w:next w:val="1138"/>
    <w:link w:val="822"/>
    <w:qFormat/>
    <w:rPr>
      <w:rFonts w:ascii="黑体" w:hAnsi="黑体" w:eastAsia="黑体" w:cs="黑体"/>
      <w:b/>
      <w:sz w:val="32"/>
      <w:szCs w:val="24"/>
      <w:lang w:val="en-US" w:eastAsia="zh-CN" w:bidi="ar-SA"/>
    </w:rPr>
  </w:style>
  <w:style w:type="paragraph" w:styleId="1139">
    <w:name w:val="正文_7_1_0"/>
    <w:next w:val="1139"/>
    <w:link w:val="822"/>
    <w:qFormat/>
    <w:pPr>
      <w:jc w:val="both"/>
      <w:widowControl w:val="off"/>
    </w:pPr>
    <w:rPr>
      <w:rFonts w:ascii="Calibri" w:hAnsi="Calibri"/>
      <w:sz w:val="21"/>
      <w:szCs w:val="22"/>
      <w:lang w:val="en-US" w:eastAsia="zh-CN" w:bidi="ar-SA"/>
    </w:rPr>
  </w:style>
  <w:style w:type="paragraph" w:styleId="1140">
    <w:name w:val="纯文本_0_0"/>
    <w:basedOn w:val="1139"/>
    <w:next w:val="1140"/>
    <w:link w:val="822"/>
    <w:unhideWhenUsed/>
    <w:qFormat/>
    <w:rPr>
      <w:rFonts w:ascii="宋体" w:hAnsi="Courier New"/>
      <w:szCs w:val="21"/>
    </w:rPr>
  </w:style>
  <w:style w:type="paragraph" w:styleId="1141">
    <w:name w:val="正文_8_0"/>
    <w:next w:val="1141"/>
    <w:link w:val="822"/>
    <w:qFormat/>
    <w:pPr>
      <w:jc w:val="both"/>
      <w:widowControl w:val="off"/>
    </w:pPr>
    <w:rPr>
      <w:rFonts w:ascii="Calibri" w:hAnsi="Calibri"/>
      <w:sz w:val="21"/>
      <w:szCs w:val="22"/>
      <w:lang w:val="en-US" w:eastAsia="zh-CN" w:bidi="ar-SA"/>
    </w:rPr>
  </w:style>
  <w:style w:type="paragraph" w:styleId="1142">
    <w:name w:val="Normal_14_0"/>
    <w:next w:val="1142"/>
    <w:link w:val="822"/>
    <w:qFormat/>
    <w:rPr>
      <w:rFonts w:ascii="黑体" w:hAnsi="黑体" w:eastAsia="黑体" w:cs="黑体"/>
      <w:b/>
      <w:sz w:val="32"/>
      <w:szCs w:val="24"/>
      <w:lang w:val="en-US" w:eastAsia="zh-CN" w:bidi="ar-SA"/>
    </w:rPr>
  </w:style>
  <w:style w:type="paragraph" w:styleId="1143">
    <w:name w:val="正文_6_0"/>
    <w:next w:val="1143"/>
    <w:link w:val="822"/>
    <w:qFormat/>
    <w:pPr>
      <w:jc w:val="both"/>
      <w:widowControl w:val="off"/>
    </w:pPr>
    <w:rPr>
      <w:rFonts w:ascii="Calibri" w:hAnsi="Calibri"/>
      <w:sz w:val="21"/>
      <w:szCs w:val="22"/>
      <w:lang w:val="en-US" w:eastAsia="zh-CN" w:bidi="ar-SA"/>
    </w:rPr>
  </w:style>
  <w:style w:type="paragraph" w:styleId="1144">
    <w:name w:val="Normal_15_0"/>
    <w:next w:val="1144"/>
    <w:link w:val="822"/>
    <w:qFormat/>
    <w:rPr>
      <w:rFonts w:ascii="黑体" w:hAnsi="黑体" w:eastAsia="黑体" w:cs="黑体"/>
      <w:b/>
      <w:sz w:val="32"/>
      <w:szCs w:val="24"/>
      <w:lang w:val="en-US" w:eastAsia="zh-CN" w:bidi="ar-SA"/>
    </w:rPr>
  </w:style>
  <w:style w:type="paragraph" w:styleId="1145">
    <w:name w:val="正文_7_0"/>
    <w:next w:val="1145"/>
    <w:link w:val="822"/>
    <w:qFormat/>
    <w:pPr>
      <w:jc w:val="both"/>
      <w:widowControl w:val="off"/>
    </w:pPr>
    <w:rPr>
      <w:rFonts w:ascii="Calibri" w:hAnsi="Calibri"/>
      <w:sz w:val="21"/>
      <w:szCs w:val="22"/>
      <w:lang w:val="en-US" w:eastAsia="zh-CN" w:bidi="ar-SA"/>
    </w:rPr>
  </w:style>
  <w:style w:type="paragraph" w:styleId="1146">
    <w:name w:val="正文_9_1"/>
    <w:next w:val="1146"/>
    <w:link w:val="822"/>
    <w:qFormat/>
    <w:pPr>
      <w:jc w:val="both"/>
      <w:widowControl w:val="off"/>
    </w:pPr>
    <w:rPr>
      <w:sz w:val="21"/>
      <w:szCs w:val="24"/>
      <w:lang w:val="en-US" w:eastAsia="zh-CN" w:bidi="ar-SA"/>
    </w:rPr>
  </w:style>
  <w:style w:type="paragraph" w:styleId="1147">
    <w:name w:val="Normal_16_0"/>
    <w:next w:val="1147"/>
    <w:link w:val="822"/>
    <w:qFormat/>
    <w:rPr>
      <w:rFonts w:ascii="黑体" w:hAnsi="黑体" w:eastAsia="黑体" w:cs="黑体"/>
      <w:b/>
      <w:sz w:val="32"/>
      <w:szCs w:val="24"/>
      <w:lang w:val="en-US" w:eastAsia="zh-CN" w:bidi="ar-SA"/>
    </w:rPr>
  </w:style>
  <w:style w:type="paragraph" w:styleId="1148">
    <w:name w:val="正文_10_0"/>
    <w:next w:val="1148"/>
    <w:link w:val="822"/>
    <w:qFormat/>
    <w:pPr>
      <w:jc w:val="both"/>
      <w:widowControl w:val="off"/>
    </w:pPr>
    <w:rPr>
      <w:sz w:val="21"/>
      <w:szCs w:val="24"/>
      <w:lang w:val="en-US" w:eastAsia="zh-CN" w:bidi="ar-SA"/>
    </w:rPr>
  </w:style>
  <w:style w:type="paragraph" w:styleId="1149">
    <w:name w:val="Normal_17_0"/>
    <w:next w:val="1149"/>
    <w:link w:val="822"/>
    <w:qFormat/>
    <w:rPr>
      <w:rFonts w:ascii="黑体" w:hAnsi="黑体" w:eastAsia="黑体" w:cs="黑体"/>
      <w:b/>
      <w:sz w:val="32"/>
      <w:szCs w:val="24"/>
      <w:lang w:val="en-US" w:eastAsia="zh-CN" w:bidi="ar-SA"/>
    </w:rPr>
  </w:style>
  <w:style w:type="paragraph" w:styleId="1150">
    <w:name w:val="正文_10_0_0"/>
    <w:next w:val="1150"/>
    <w:link w:val="822"/>
    <w:qFormat/>
    <w:pPr>
      <w:jc w:val="both"/>
      <w:widowControl w:val="off"/>
    </w:pPr>
    <w:rPr>
      <w:sz w:val="21"/>
      <w:szCs w:val="24"/>
      <w:lang w:val="en-US" w:eastAsia="zh-CN" w:bidi="ar-SA"/>
    </w:rPr>
  </w:style>
  <w:style w:type="paragraph" w:styleId="1151">
    <w:name w:val="Normal_18_0"/>
    <w:next w:val="1151"/>
    <w:link w:val="822"/>
    <w:qFormat/>
    <w:rPr>
      <w:rFonts w:ascii="黑体" w:hAnsi="黑体" w:eastAsia="黑体" w:cs="黑体"/>
      <w:b/>
      <w:sz w:val="32"/>
      <w:szCs w:val="24"/>
      <w:lang w:val="en-US" w:eastAsia="zh-CN" w:bidi="ar-SA"/>
    </w:rPr>
  </w:style>
  <w:style w:type="paragraph" w:styleId="1152">
    <w:name w:val="正文_12_0"/>
    <w:next w:val="1152"/>
    <w:link w:val="822"/>
    <w:qFormat/>
    <w:pPr>
      <w:jc w:val="both"/>
      <w:widowControl w:val="off"/>
    </w:pPr>
    <w:rPr>
      <w:rFonts w:ascii="Calibri" w:hAnsi="Calibri"/>
      <w:sz w:val="21"/>
      <w:szCs w:val="22"/>
      <w:lang w:val="en-US" w:eastAsia="zh-CN" w:bidi="ar-SA"/>
    </w:rPr>
  </w:style>
  <w:style w:type="paragraph" w:styleId="1153">
    <w:name w:val="正文_9_1_0"/>
    <w:next w:val="1153"/>
    <w:link w:val="822"/>
    <w:qFormat/>
    <w:pPr>
      <w:jc w:val="both"/>
      <w:widowControl w:val="off"/>
    </w:pPr>
    <w:rPr>
      <w:sz w:val="21"/>
      <w:szCs w:val="24"/>
      <w:lang w:val="en-US" w:eastAsia="zh-CN" w:bidi="ar-SA"/>
    </w:rPr>
  </w:style>
  <w:style w:type="paragraph" w:styleId="1154">
    <w:name w:val="Normal_14_0_0"/>
    <w:next w:val="1154"/>
    <w:link w:val="822"/>
    <w:qFormat/>
    <w:rPr>
      <w:rFonts w:ascii="黑体" w:hAnsi="黑体" w:eastAsia="黑体"/>
      <w:b/>
      <w:sz w:val="32"/>
      <w:szCs w:val="24"/>
      <w:lang w:val="en-US" w:eastAsia="zh-CN" w:bidi="ar-SA"/>
    </w:rPr>
  </w:style>
  <w:style w:type="paragraph" w:styleId="1155">
    <w:name w:val="正文_12_0_0"/>
    <w:next w:val="1155"/>
    <w:link w:val="822"/>
    <w:qFormat/>
    <w:pPr>
      <w:jc w:val="both"/>
      <w:widowControl w:val="off"/>
    </w:pPr>
    <w:rPr>
      <w:sz w:val="21"/>
      <w:szCs w:val="24"/>
      <w:lang w:val="en-US" w:eastAsia="zh-CN" w:bidi="ar-SA"/>
    </w:rPr>
  </w:style>
  <w:style w:type="paragraph" w:styleId="1156">
    <w:name w:val="正文_12_0_0_0"/>
    <w:next w:val="1156"/>
    <w:link w:val="822"/>
    <w:qFormat/>
    <w:pPr>
      <w:jc w:val="both"/>
      <w:widowControl w:val="off"/>
    </w:pPr>
    <w:rPr>
      <w:sz w:val="21"/>
      <w:szCs w:val="24"/>
      <w:lang w:val="en-US" w:eastAsia="zh-CN" w:bidi="ar-SA"/>
    </w:rPr>
  </w:style>
  <w:style w:type="paragraph" w:styleId="1157">
    <w:name w:val="正文_13_0"/>
    <w:next w:val="1157"/>
    <w:link w:val="822"/>
    <w:qFormat/>
    <w:pPr>
      <w:jc w:val="both"/>
      <w:widowControl w:val="off"/>
    </w:pPr>
    <w:rPr>
      <w:rFonts w:ascii="Calibri" w:hAnsi="Calibri"/>
      <w:sz w:val="21"/>
      <w:szCs w:val="22"/>
      <w:lang w:val="en-US" w:eastAsia="zh-CN" w:bidi="ar-SA"/>
    </w:rPr>
  </w:style>
  <w:style w:type="paragraph" w:styleId="1158">
    <w:name w:val="正文_13_0_0"/>
    <w:next w:val="1158"/>
    <w:link w:val="822"/>
    <w:qFormat/>
    <w:pPr>
      <w:jc w:val="both"/>
      <w:widowControl w:val="off"/>
    </w:pPr>
    <w:rPr>
      <w:sz w:val="21"/>
      <w:szCs w:val="24"/>
      <w:lang w:val="en-US" w:eastAsia="zh-CN" w:bidi="ar-SA"/>
    </w:rPr>
  </w:style>
  <w:style w:type="paragraph" w:styleId="1159">
    <w:name w:val="正文_14_0"/>
    <w:next w:val="1159"/>
    <w:link w:val="822"/>
    <w:qFormat/>
    <w:pPr>
      <w:jc w:val="both"/>
      <w:widowControl w:val="off"/>
    </w:pPr>
    <w:rPr>
      <w:rFonts w:ascii="Calibri" w:hAnsi="Calibri"/>
      <w:sz w:val="21"/>
      <w:szCs w:val="22"/>
      <w:lang w:val="en-US" w:eastAsia="zh-CN" w:bidi="ar-SA"/>
    </w:rPr>
  </w:style>
  <w:style w:type="paragraph" w:styleId="1160">
    <w:name w:val="正文_14_0_0"/>
    <w:next w:val="1160"/>
    <w:link w:val="822"/>
    <w:qFormat/>
    <w:pPr>
      <w:jc w:val="both"/>
      <w:widowControl w:val="off"/>
    </w:pPr>
    <w:rPr>
      <w:sz w:val="21"/>
      <w:szCs w:val="24"/>
      <w:lang w:val="en-US" w:eastAsia="zh-CN" w:bidi="ar-SA"/>
    </w:rPr>
  </w:style>
  <w:style w:type="paragraph" w:styleId="1161">
    <w:name w:val="Normal Indent_0"/>
    <w:basedOn w:val="917"/>
    <w:next w:val="1161"/>
    <w:link w:val="822"/>
    <w:qFormat/>
    <w:pPr>
      <w:ind w:firstLine="420"/>
    </w:pPr>
    <w:rPr>
      <w:rFonts w:ascii="宋体" w:eastAsia="Times New Roman"/>
      <w:color w:val="000000"/>
      <w:sz w:val="24"/>
      <w:szCs w:val="20"/>
    </w:rPr>
  </w:style>
  <w:style w:type="paragraph" w:styleId="1162">
    <w:name w:val="Heading 3_0"/>
    <w:basedOn w:val="917"/>
    <w:next w:val="917"/>
    <w:link w:val="822"/>
    <w:qFormat/>
    <w:pPr>
      <w:keepLines/>
      <w:keepNext/>
      <w:spacing w:before="260" w:after="260" w:line="413" w:lineRule="auto"/>
      <w:outlineLvl w:val="2"/>
    </w:pPr>
    <w:rPr>
      <w:rFonts w:ascii="Times New Roman" w:hAnsi="Times New Roman" w:eastAsia="Times New Roman"/>
      <w:szCs w:val="20"/>
    </w:rPr>
  </w:style>
  <w:style w:type="paragraph" w:styleId="1163">
    <w:name w:val="正文_15_0"/>
    <w:next w:val="1163"/>
    <w:link w:val="822"/>
    <w:qFormat/>
    <w:pPr>
      <w:jc w:val="both"/>
      <w:widowControl w:val="off"/>
    </w:pPr>
    <w:rPr>
      <w:rFonts w:ascii="Calibri" w:hAnsi="Calibri"/>
      <w:sz w:val="21"/>
      <w:szCs w:val="22"/>
      <w:lang w:val="en-US" w:eastAsia="zh-CN" w:bidi="ar-SA"/>
    </w:rPr>
  </w:style>
  <w:style w:type="paragraph" w:styleId="1164">
    <w:name w:val="正文2"/>
    <w:basedOn w:val="822"/>
    <w:next w:val="1164"/>
    <w:link w:val="822"/>
    <w:qFormat/>
    <w:pPr>
      <w:ind w:firstLine="510"/>
      <w:spacing w:before="156" w:line="360" w:lineRule="auto"/>
    </w:pPr>
    <w:rPr>
      <w:sz w:val="24"/>
      <w:szCs w:val="20"/>
    </w:rPr>
  </w:style>
  <w:style w:type="paragraph" w:styleId="1165">
    <w:name w:val="Default"/>
    <w:next w:val="1165"/>
    <w:link w:val="822"/>
    <w:qFormat/>
    <w:pPr>
      <w:widowControl w:val="off"/>
    </w:pPr>
    <w:rPr>
      <w:rFonts w:ascii="宋体" w:cs="宋体"/>
      <w:color w:val="000000"/>
      <w:sz w:val="24"/>
      <w:szCs w:val="24"/>
      <w:lang w:val="en-US" w:eastAsia="zh-CN" w:bidi="ar-SA"/>
    </w:rPr>
  </w:style>
  <w:style w:type="paragraph" w:styleId="1166">
    <w:name w:val="正文_0_2_0"/>
    <w:next w:val="1166"/>
    <w:link w:val="822"/>
    <w:qFormat/>
    <w:pPr>
      <w:jc w:val="both"/>
      <w:widowControl w:val="off"/>
    </w:pPr>
    <w:rPr>
      <w:szCs w:val="24"/>
      <w:lang w:val="en-US" w:eastAsia="zh-CN" w:bidi="ar-SA"/>
    </w:rPr>
  </w:style>
  <w:style w:type="paragraph" w:styleId="1167">
    <w:name w:val="Normal_19_1_0"/>
    <w:next w:val="1168"/>
    <w:link w:val="822"/>
    <w:qFormat/>
    <w:pPr>
      <w:jc w:val="both"/>
      <w:widowControl w:val="off"/>
    </w:pPr>
    <w:rPr>
      <w:rFonts w:ascii="Calibri" w:hAnsi="Calibri"/>
      <w:szCs w:val="24"/>
      <w:lang w:val="en-US" w:eastAsia="zh-CN" w:bidi="ar-SA"/>
    </w:rPr>
  </w:style>
  <w:style w:type="paragraph" w:styleId="1168">
    <w:name w:val="正文_16_0"/>
    <w:basedOn w:val="1129"/>
    <w:next w:val="1127"/>
    <w:link w:val="822"/>
    <w:qFormat/>
    <w:rPr>
      <w:rFonts w:ascii="Times New Roman" w:hAnsi="Times New Roman"/>
    </w:rPr>
  </w:style>
  <w:style w:type="paragraph" w:styleId="1169">
    <w:name w:val="Normal_19_0"/>
    <w:basedOn w:val="838"/>
    <w:next w:val="1170"/>
    <w:link w:val="822"/>
    <w:qFormat/>
    <w:rPr>
      <w:szCs w:val="24"/>
    </w:rPr>
  </w:style>
  <w:style w:type="paragraph" w:styleId="1170">
    <w:name w:val="Body Text First Indent_1_0"/>
    <w:basedOn w:val="1169"/>
    <w:next w:val="1170"/>
    <w:link w:val="822"/>
    <w:qFormat/>
    <w:pPr>
      <w:ind w:firstLine="100"/>
      <w:spacing w:after="120"/>
    </w:pPr>
  </w:style>
  <w:style w:type="paragraph" w:styleId="1171">
    <w:name w:val="Body Text_0"/>
    <w:basedOn w:val="1169"/>
    <w:next w:val="1171"/>
    <w:link w:val="822"/>
    <w:qFormat/>
    <w:pPr>
      <w:spacing w:line="60" w:lineRule="auto"/>
    </w:pPr>
    <w:rPr>
      <w:rFonts w:ascii="仿宋_GB2312" w:eastAsia="仿宋_GB2312"/>
      <w:sz w:val="32"/>
    </w:rPr>
  </w:style>
  <w:style w:type="paragraph" w:styleId="1172">
    <w:name w:val="Normal_19_1"/>
    <w:next w:val="917"/>
    <w:link w:val="822"/>
    <w:qFormat/>
    <w:pPr>
      <w:jc w:val="both"/>
      <w:widowControl w:val="off"/>
    </w:pPr>
    <w:rPr>
      <w:rFonts w:ascii="Calibri" w:hAnsi="Calibri"/>
      <w:szCs w:val="24"/>
      <w:lang w:val="en-US" w:eastAsia="zh-CN" w:bidi="ar-SA"/>
    </w:rPr>
  </w:style>
  <w:style w:type="paragraph" w:styleId="1173">
    <w:name w:val="正文_6_0_0"/>
    <w:next w:val="1173"/>
    <w:link w:val="822"/>
    <w:qFormat/>
    <w:pPr>
      <w:jc w:val="both"/>
      <w:widowControl w:val="off"/>
    </w:pPr>
    <w:rPr>
      <w:rFonts w:ascii="Calibri" w:hAnsi="Calibri"/>
      <w:lang w:val="en-US" w:eastAsia="zh-CN" w:bidi="ar-SA"/>
    </w:rPr>
  </w:style>
  <w:style w:type="paragraph" w:styleId="1174">
    <w:name w:val="正文_7_1"/>
    <w:next w:val="1174"/>
    <w:link w:val="822"/>
    <w:qFormat/>
    <w:pPr>
      <w:jc w:val="both"/>
      <w:widowControl w:val="off"/>
    </w:pPr>
    <w:rPr>
      <w:rFonts w:ascii="Calibri" w:hAnsi="Calibri"/>
      <w:lang w:val="en-US" w:eastAsia="zh-CN" w:bidi="ar-SA"/>
    </w:rPr>
  </w:style>
  <w:style w:type="paragraph" w:styleId="1175">
    <w:name w:val="正文1_1"/>
    <w:basedOn w:val="1123"/>
    <w:next w:val="1175"/>
    <w:link w:val="822"/>
    <w:qFormat/>
    <w:pPr>
      <w:jc w:val="both"/>
      <w:widowControl w:val="off"/>
    </w:pPr>
    <w:rPr>
      <w:sz w:val="20"/>
      <w:szCs w:val="20"/>
    </w:rPr>
  </w:style>
  <w:style w:type="paragraph" w:styleId="1176">
    <w:name w:val="Normal_8_0_0"/>
    <w:next w:val="1176"/>
    <w:link w:val="822"/>
    <w:qFormat/>
    <w:rPr>
      <w:rFonts w:eastAsia="Times New Roman"/>
      <w:sz w:val="24"/>
      <w:szCs w:val="24"/>
      <w:lang w:val="en-US" w:eastAsia="zh-CN" w:bidi="ar-SA"/>
    </w:rPr>
  </w:style>
  <w:style w:type="paragraph" w:styleId="1177">
    <w:name w:val="Normal_8_0_0_0"/>
    <w:next w:val="1177"/>
    <w:link w:val="822"/>
    <w:qFormat/>
    <w:pPr>
      <w:jc w:val="both"/>
      <w:widowControl w:val="off"/>
    </w:pPr>
    <w:rPr>
      <w:rFonts w:ascii="Calibri" w:hAnsi="Calibri"/>
      <w:lang w:val="en-US" w:eastAsia="zh-CN" w:bidi="ar-SA"/>
    </w:rPr>
  </w:style>
  <w:style w:type="paragraph" w:styleId="1178">
    <w:name w:val="Normal_16_1"/>
    <w:next w:val="1178"/>
    <w:link w:val="822"/>
    <w:qFormat/>
    <w:rPr>
      <w:rFonts w:ascii="黑体" w:hAnsi="黑体" w:eastAsia="黑体"/>
      <w:b/>
      <w:sz w:val="32"/>
      <w:szCs w:val="24"/>
      <w:lang w:val="en-US" w:eastAsia="zh-CN" w:bidi="ar-SA"/>
    </w:rPr>
  </w:style>
  <w:style w:type="paragraph" w:styleId="1179">
    <w:name w:val="Normal_19_0_1"/>
    <w:next w:val="1179"/>
    <w:link w:val="822"/>
    <w:qFormat/>
    <w:rPr>
      <w:rFonts w:ascii="Tahoma" w:hAnsi="Tahoma" w:eastAsia="微软雅黑"/>
      <w:lang w:val="en-US" w:eastAsia="zh-CN" w:bidi="ar-SA"/>
    </w:rPr>
  </w:style>
  <w:style w:type="paragraph" w:styleId="1180">
    <w:name w:val="Normal_16_0_0"/>
    <w:next w:val="1180"/>
    <w:link w:val="822"/>
    <w:qFormat/>
    <w:pPr>
      <w:jc w:val="both"/>
      <w:widowControl w:val="off"/>
    </w:pPr>
    <w:rPr>
      <w:rFonts w:ascii="Calibri" w:hAnsi="Calibri"/>
      <w:lang w:val="en-US" w:eastAsia="zh-CN" w:bidi="ar-SA"/>
    </w:rPr>
  </w:style>
  <w:style w:type="paragraph" w:styleId="1181">
    <w:name w:val="Normal_22_0"/>
    <w:next w:val="1181"/>
    <w:link w:val="822"/>
    <w:qFormat/>
    <w:pPr>
      <w:jc w:val="both"/>
      <w:widowControl w:val="off"/>
    </w:pPr>
    <w:rPr>
      <w:rFonts w:ascii="Calibri" w:hAnsi="Calibri"/>
      <w:szCs w:val="24"/>
      <w:lang w:val="en-US" w:eastAsia="zh-CN" w:bidi="ar-SA"/>
    </w:rPr>
  </w:style>
  <w:style w:type="paragraph" w:styleId="1182">
    <w:name w:val="Normal_17_0_0"/>
    <w:next w:val="1182"/>
    <w:link w:val="822"/>
    <w:qFormat/>
    <w:rPr>
      <w:rFonts w:ascii="黑体" w:hAnsi="黑体" w:eastAsia="黑体"/>
      <w:b/>
      <w:sz w:val="32"/>
      <w:szCs w:val="24"/>
      <w:lang w:val="en-US" w:eastAsia="zh-CN" w:bidi="ar-SA"/>
    </w:rPr>
  </w:style>
  <w:style w:type="paragraph" w:styleId="1183">
    <w:name w:val="Normal_19_0_1_0"/>
    <w:next w:val="1183"/>
    <w:link w:val="822"/>
    <w:qFormat/>
    <w:rPr>
      <w:rFonts w:ascii="Tahoma" w:hAnsi="Tahoma" w:eastAsia="微软雅黑"/>
      <w:lang w:val="en-US" w:eastAsia="zh-CN" w:bidi="ar-SA"/>
    </w:rPr>
  </w:style>
  <w:style w:type="paragraph" w:styleId="1184">
    <w:name w:val="Normal_19_3"/>
    <w:next w:val="1185"/>
    <w:link w:val="822"/>
    <w:qFormat/>
    <w:pPr>
      <w:jc w:val="both"/>
      <w:widowControl w:val="off"/>
    </w:pPr>
    <w:rPr>
      <w:rFonts w:ascii="Calibri" w:hAnsi="Calibri" w:eastAsia="Times New Roman"/>
      <w:szCs w:val="24"/>
      <w:lang w:val="en-US" w:eastAsia="zh-CN" w:bidi="ar-SA"/>
    </w:rPr>
  </w:style>
  <w:style w:type="paragraph" w:styleId="1185">
    <w:name w:val="正文_17_0"/>
    <w:next w:val="1185"/>
    <w:link w:val="822"/>
    <w:qFormat/>
    <w:pPr>
      <w:jc w:val="both"/>
      <w:widowControl w:val="off"/>
    </w:pPr>
    <w:rPr>
      <w:rFonts w:ascii="Calibri" w:hAnsi="Calibri"/>
      <w:sz w:val="21"/>
      <w:szCs w:val="22"/>
      <w:lang w:val="en-US" w:eastAsia="zh-CN" w:bidi="ar-SA"/>
    </w:rPr>
  </w:style>
  <w:style w:type="paragraph" w:styleId="1186">
    <w:name w:val="Normal_22_0_0"/>
    <w:next w:val="1186"/>
    <w:link w:val="822"/>
    <w:qFormat/>
    <w:pPr>
      <w:jc w:val="both"/>
      <w:widowControl w:val="off"/>
    </w:pPr>
    <w:rPr>
      <w:rFonts w:ascii="Calibri" w:hAnsi="Calibri"/>
      <w:szCs w:val="24"/>
      <w:lang w:val="en-US" w:eastAsia="zh-CN" w:bidi="ar-SA"/>
    </w:rPr>
  </w:style>
  <w:style w:type="character" w:styleId="1187">
    <w:name w:val="custom-tag-placeholder-class"/>
    <w:next w:val="1187"/>
    <w:link w:val="822"/>
    <w:qFormat/>
  </w:style>
  <w:style w:type="paragraph" w:styleId="1188">
    <w:name w:val="Normal_19_0_0"/>
    <w:basedOn w:val="917"/>
    <w:next w:val="1189"/>
    <w:link w:val="822"/>
    <w:qFormat/>
    <w:rPr>
      <w:rFonts w:ascii="Calibri" w:hAnsi="Calibri" w:eastAsia="Times New Roman"/>
      <w:sz w:val="24"/>
    </w:rPr>
  </w:style>
  <w:style w:type="paragraph" w:styleId="1189">
    <w:name w:val="Body Text First Indent_1_0_0"/>
    <w:basedOn w:val="1188"/>
    <w:next w:val="1189"/>
    <w:link w:val="822"/>
    <w:pPr>
      <w:ind w:firstLine="100"/>
      <w:spacing w:after="120"/>
    </w:pPr>
    <w:rPr>
      <w:rFonts w:eastAsia="Times New Roman"/>
    </w:rPr>
  </w:style>
  <w:style w:type="paragraph" w:styleId="1190">
    <w:name w:val="正文首行缩进1"/>
    <w:basedOn w:val="1191"/>
    <w:next w:val="1190"/>
    <w:link w:val="822"/>
    <w:qFormat/>
    <w:pPr>
      <w:ind w:firstLine="100"/>
      <w:spacing w:after="120" w:line="240" w:lineRule="auto"/>
    </w:pPr>
    <w:rPr>
      <w:rFonts w:ascii="Times New Roman" w:hAnsi="Times New Roman" w:eastAsia="宋体"/>
      <w:sz w:val="21"/>
    </w:rPr>
  </w:style>
  <w:style w:type="paragraph" w:styleId="1191">
    <w:name w:val="正文文本1"/>
    <w:basedOn w:val="822"/>
    <w:next w:val="1191"/>
    <w:link w:val="822"/>
    <w:qFormat/>
    <w:pPr>
      <w:spacing w:line="60" w:lineRule="auto"/>
    </w:pPr>
    <w:rPr>
      <w:rFonts w:ascii="仿宋_GB2312" w:eastAsia="仿宋_GB2312"/>
      <w:sz w:val="32"/>
    </w:rPr>
  </w:style>
  <w:style w:type="paragraph" w:styleId="1192">
    <w:name w:val="正文_2_0"/>
    <w:next w:val="1192"/>
    <w:link w:val="822"/>
    <w:qFormat/>
    <w:pPr>
      <w:jc w:val="both"/>
      <w:widowControl w:val="off"/>
    </w:pPr>
    <w:rPr>
      <w:rFonts w:ascii="Calibri" w:hAnsi="Calibri"/>
      <w:sz w:val="21"/>
      <w:szCs w:val="22"/>
      <w:lang w:val="en-US" w:eastAsia="zh-CN" w:bidi="ar-SA"/>
    </w:rPr>
  </w:style>
  <w:style w:type="paragraph" w:styleId="1193">
    <w:name w:val="List Paragraph_0"/>
    <w:basedOn w:val="1102"/>
    <w:next w:val="1193"/>
    <w:link w:val="822"/>
    <w:qFormat/>
    <w:pPr>
      <w:ind w:firstLine="420"/>
    </w:pPr>
  </w:style>
  <w:style w:type="paragraph" w:styleId="1194">
    <w:name w:val="纯文本_1"/>
    <w:basedOn w:val="1192"/>
    <w:next w:val="1194"/>
    <w:link w:val="822"/>
    <w:qFormat/>
    <w:rPr>
      <w:rFonts w:ascii="宋体" w:hAnsi="Times New Roman"/>
      <w:sz w:val="20"/>
      <w:szCs w:val="21"/>
    </w:rPr>
  </w:style>
  <w:style w:type="paragraph" w:styleId="1195">
    <w:name w:val="正文_16_0_0"/>
    <w:next w:val="964"/>
    <w:link w:val="822"/>
    <w:qFormat/>
    <w:pPr>
      <w:jc w:val="both"/>
      <w:widowControl w:val="off"/>
    </w:pPr>
    <w:rPr>
      <w:rFonts w:ascii="Calibri" w:hAnsi="Calibri"/>
      <w:sz w:val="21"/>
      <w:szCs w:val="22"/>
      <w:lang w:val="en-US" w:eastAsia="zh-CN" w:bidi="ar-SA"/>
    </w:rPr>
  </w:style>
  <w:style w:type="paragraph" w:styleId="1196">
    <w:name w:val="正文_11_0"/>
    <w:basedOn w:val="964"/>
    <w:next w:val="1196"/>
    <w:link w:val="822"/>
    <w:qFormat/>
    <w:rPr>
      <w:rFonts w:ascii="Calibri" w:hAnsi="Calibri"/>
      <w:szCs w:val="20"/>
    </w:rPr>
  </w:style>
  <w:style w:type="paragraph" w:styleId="1197">
    <w:name w:val="Normal_19_0_0_0"/>
    <w:basedOn w:val="838"/>
    <w:next w:val="1197"/>
    <w:link w:val="822"/>
    <w:qFormat/>
    <w:rPr>
      <w:rFonts w:cs="黑体"/>
      <w:szCs w:val="24"/>
    </w:rPr>
  </w:style>
  <w:style w:type="paragraph" w:styleId="1198">
    <w:name w:val="无间隔1"/>
    <w:basedOn w:val="1109"/>
    <w:next w:val="1198"/>
    <w:link w:val="822"/>
    <w:qFormat/>
    <w:rPr>
      <w:rFonts w:ascii="Calibri" w:hAnsi="Calibri" w:cs="Calibri"/>
    </w:rPr>
  </w:style>
  <w:style w:type="paragraph" w:styleId="1199">
    <w:name w:val="标题 31"/>
    <w:basedOn w:val="1109"/>
    <w:next w:val="1109"/>
    <w:link w:val="822"/>
    <w:qFormat/>
    <w:pPr>
      <w:keepLines/>
      <w:keepNext/>
      <w:spacing w:before="260" w:after="260" w:line="413" w:lineRule="auto"/>
      <w:outlineLvl w:val="2"/>
    </w:pPr>
    <w:rPr>
      <w:b/>
      <w:sz w:val="32"/>
      <w:szCs w:val="20"/>
    </w:rPr>
  </w:style>
  <w:style w:type="character" w:styleId="1200">
    <w:name w:val="标题 2 Char_0"/>
    <w:next w:val="1200"/>
    <w:link w:val="1201"/>
    <w:qFormat/>
    <w:rPr>
      <w:rFonts w:ascii="Arial" w:hAnsi="Arial" w:eastAsia="黑体"/>
      <w:b/>
      <w:sz w:val="32"/>
      <w:szCs w:val="22"/>
    </w:rPr>
  </w:style>
  <w:style w:type="paragraph" w:styleId="1201">
    <w:name w:val="标题 21"/>
    <w:basedOn w:val="840"/>
    <w:next w:val="840"/>
    <w:link w:val="1200"/>
    <w:unhideWhenUsed/>
    <w:qFormat/>
    <w:pPr>
      <w:keepLines/>
      <w:keepNext/>
      <w:spacing w:before="260" w:after="260" w:line="413" w:lineRule="auto"/>
      <w:outlineLvl w:val="1"/>
    </w:pPr>
    <w:rPr>
      <w:rFonts w:ascii="Arial" w:hAnsi="Arial"/>
      <w:szCs w:val="22"/>
    </w:rPr>
  </w:style>
  <w:style w:type="paragraph" w:styleId="1202">
    <w:name w:val="Normal_19_1_0_0"/>
    <w:next w:val="1203"/>
    <w:link w:val="822"/>
    <w:qFormat/>
    <w:pPr>
      <w:jc w:val="both"/>
      <w:widowControl w:val="off"/>
    </w:pPr>
    <w:rPr>
      <w:rFonts w:ascii="Calibri" w:hAnsi="Calibri"/>
      <w:sz w:val="21"/>
      <w:szCs w:val="24"/>
      <w:lang w:val="en-US" w:eastAsia="zh-CN" w:bidi="ar-SA"/>
    </w:rPr>
  </w:style>
  <w:style w:type="paragraph" w:styleId="1203">
    <w:name w:val="正文_16_0_1"/>
    <w:next w:val="1203"/>
    <w:link w:val="822"/>
    <w:qFormat/>
    <w:pPr>
      <w:jc w:val="both"/>
      <w:widowControl w:val="off"/>
    </w:pPr>
    <w:rPr>
      <w:sz w:val="21"/>
      <w:szCs w:val="22"/>
      <w:lang w:val="en-US" w:eastAsia="zh-CN" w:bidi="ar-SA"/>
    </w:rPr>
  </w:style>
  <w:style w:type="paragraph" w:styleId="1204">
    <w:name w:val="正文1_0_0"/>
    <w:basedOn w:val="840"/>
    <w:next w:val="1204"/>
    <w:link w:val="822"/>
    <w:qFormat/>
    <w:pPr>
      <w:ind w:left="357" w:firstLine="420"/>
      <w:spacing w:line="360" w:lineRule="auto"/>
    </w:pPr>
    <w:rPr>
      <w:rFonts w:eastAsia="Times New Roman" w:cs="Arial"/>
    </w:rPr>
  </w:style>
  <w:style w:type="paragraph" w:styleId="1205">
    <w:name w:val="普通正文"/>
    <w:basedOn w:val="822"/>
    <w:next w:val="1205"/>
    <w:link w:val="822"/>
    <w:qFormat/>
    <w:pPr>
      <w:ind w:firstLine="480"/>
      <w:jc w:val="left"/>
      <w:spacing w:before="120" w:after="120" w:line="360" w:lineRule="auto"/>
    </w:pPr>
    <w:rPr>
      <w:rFonts w:ascii="Arial" w:hAnsi="Arial"/>
      <w:sz w:val="24"/>
      <w:szCs w:val="24"/>
    </w:rPr>
  </w:style>
  <w:style w:type="paragraph" w:styleId="1206">
    <w:name w:val="正文空2字"/>
    <w:basedOn w:val="1207"/>
    <w:next w:val="1206"/>
    <w:link w:val="822"/>
    <w:uiPriority w:val="99"/>
    <w:qFormat/>
    <w:pPr>
      <w:ind w:firstLine="640"/>
      <w:spacing w:line="560" w:lineRule="exact"/>
      <w:widowControl w:val="off"/>
    </w:pPr>
    <w:rPr>
      <w:rFonts w:ascii="仿宋_GB2312" w:hAnsi="仿宋_GB2312" w:cs="仿宋_GB2312"/>
      <w:lang w:val="zh-TW"/>
    </w:rPr>
  </w:style>
  <w:style w:type="paragraph" w:styleId="1207">
    <w:name w:val="左对齐正文"/>
    <w:next w:val="1207"/>
    <w:link w:val="822"/>
    <w:uiPriority w:val="99"/>
    <w:qFormat/>
    <w:rPr>
      <w:rFonts w:ascii="Calibri" w:hAnsi="Calibri" w:eastAsia="仿宋_GB2312" w:cs="Calibri"/>
      <w:sz w:val="32"/>
      <w:szCs w:val="32"/>
      <w:lang w:val="en-US" w:eastAsia="zh-CN" w:bidi="ar-SA"/>
    </w:rPr>
  </w:style>
  <w:style w:type="paragraph" w:styleId="1208">
    <w:name w:val="普通(网站)1"/>
    <w:basedOn w:val="822"/>
    <w:next w:val="1208"/>
    <w:link w:val="822"/>
    <w:qFormat/>
    <w:rPr>
      <w:sz w:val="24"/>
    </w:rPr>
  </w:style>
  <w:style w:type="character" w:styleId="1209">
    <w:name w:val="16"/>
    <w:next w:val="1209"/>
    <w:link w:val="822"/>
    <w:qFormat/>
    <w:rPr>
      <w:rFonts w:ascii="Times New Roman" w:hAnsi="Times New Roman"/>
      <w:sz w:val="21"/>
      <w:szCs w:val="21"/>
      <w:lang w:val="en-US" w:eastAsia="zh-CN" w:bidi="ar-SA"/>
    </w:rPr>
  </w:style>
  <w:style w:type="paragraph" w:styleId="1210">
    <w:name w:val="正文文本_0"/>
    <w:basedOn w:val="1102"/>
    <w:next w:val="1211"/>
    <w:link w:val="822"/>
    <w:qFormat/>
    <w:pPr>
      <w:spacing w:line="60" w:lineRule="auto"/>
    </w:pPr>
    <w:rPr>
      <w:rFonts w:ascii="仿宋_GB2312" w:eastAsia="仿宋_GB2312"/>
      <w:sz w:val="32"/>
    </w:rPr>
  </w:style>
  <w:style w:type="paragraph" w:styleId="1211">
    <w:name w:val="正文缩进_1"/>
    <w:basedOn w:val="1102"/>
    <w:next w:val="1102"/>
    <w:link w:val="822"/>
    <w:qFormat/>
    <w:pPr>
      <w:ind w:firstLine="420"/>
    </w:pPr>
    <w:rPr>
      <w:rFonts w:ascii="宋体"/>
      <w:color w:val="000000"/>
      <w:sz w:val="24"/>
      <w:szCs w:val="20"/>
    </w:rPr>
  </w:style>
  <w:style w:type="paragraph" w:styleId="1212">
    <w:name w:val="Table Paragraph"/>
    <w:basedOn w:val="917"/>
    <w:next w:val="1212"/>
    <w:link w:val="822"/>
    <w:uiPriority w:val="1"/>
    <w:qFormat/>
    <w:rPr>
      <w:rFonts w:ascii="宋体" w:hAnsi="宋体" w:cs="宋体"/>
      <w:sz w:val="22"/>
      <w:lang w:val="zh-CN" w:bidi="zh-CN"/>
    </w:rPr>
  </w:style>
  <w:style w:type="paragraph" w:styleId="1213">
    <w:name w:val="Normal_19_2"/>
    <w:basedOn w:val="1214"/>
    <w:next w:val="1213"/>
    <w:link w:val="822"/>
    <w:qFormat/>
    <w:rPr>
      <w:rFonts w:ascii="Times New Roman" w:hAnsi="Times New Roman"/>
      <w:szCs w:val="21"/>
    </w:rPr>
  </w:style>
  <w:style w:type="paragraph" w:styleId="1214">
    <w:name w:val="正文_3_0"/>
    <w:next w:val="1214"/>
    <w:link w:val="822"/>
    <w:qFormat/>
    <w:pPr>
      <w:jc w:val="both"/>
      <w:widowControl w:val="off"/>
    </w:pPr>
    <w:rPr>
      <w:rFonts w:ascii="Calibri" w:hAnsi="Calibri"/>
      <w:sz w:val="21"/>
      <w:szCs w:val="22"/>
      <w:lang w:val="en-US" w:eastAsia="zh-CN" w:bidi="ar-SA"/>
    </w:rPr>
  </w:style>
  <w:style w:type="paragraph" w:styleId="1215">
    <w:name w:val="正文文本2"/>
    <w:basedOn w:val="962"/>
    <w:next w:val="1215"/>
    <w:link w:val="822"/>
    <w:qFormat/>
    <w:pPr>
      <w:spacing w:line="60" w:lineRule="auto"/>
    </w:pPr>
    <w:rPr>
      <w:rFonts w:ascii="仿宋_GB2312" w:eastAsia="仿宋_GB2312"/>
      <w:sz w:val="32"/>
      <w:szCs w:val="22"/>
    </w:rPr>
  </w:style>
  <w:style w:type="paragraph" w:styleId="1216">
    <w:name w:val="正文1_0"/>
    <w:basedOn w:val="1192"/>
    <w:next w:val="1216"/>
    <w:link w:val="822"/>
    <w:qFormat/>
    <w:pPr>
      <w:ind w:left="357" w:firstLine="420"/>
      <w:jc w:val="left"/>
      <w:spacing w:line="360" w:lineRule="auto"/>
      <w:widowControl/>
    </w:pPr>
    <w:rPr>
      <w:rFonts w:cs="Arial"/>
      <w:szCs w:val="20"/>
    </w:rPr>
  </w:style>
  <w:style w:type="paragraph" w:styleId="1217">
    <w:name w:val="Normal_19_2_0"/>
    <w:basedOn w:val="1218"/>
    <w:next w:val="1217"/>
    <w:link w:val="822"/>
    <w:qFormat/>
    <w:rPr>
      <w:rFonts w:ascii="Times New Roman" w:hAnsi="Times New Roman"/>
      <w:szCs w:val="21"/>
    </w:rPr>
  </w:style>
  <w:style w:type="paragraph" w:styleId="1218">
    <w:name w:val="正文_3_1"/>
    <w:next w:val="1218"/>
    <w:link w:val="822"/>
    <w:qFormat/>
    <w:pPr>
      <w:jc w:val="both"/>
      <w:widowControl w:val="off"/>
    </w:pPr>
    <w:rPr>
      <w:rFonts w:ascii="Calibri" w:hAnsi="Calibri"/>
      <w:sz w:val="21"/>
      <w:szCs w:val="22"/>
      <w:lang w:val="en-US" w:eastAsia="zh-CN" w:bidi="ar-SA"/>
    </w:rPr>
  </w:style>
  <w:style w:type="paragraph" w:styleId="1219">
    <w:name w:val="正文缩进1"/>
    <w:basedOn w:val="822"/>
    <w:next w:val="1219"/>
    <w:link w:val="822"/>
    <w:qFormat/>
    <w:pPr>
      <w:ind w:firstLine="420"/>
      <w:jc w:val="left"/>
    </w:pPr>
    <w:rPr>
      <w:rFonts w:ascii="宋体" w:hAnsi="Calibri" w:eastAsia="宋体" w:cs="Times New Roman"/>
      <w:sz w:val="24"/>
    </w:rPr>
  </w:style>
  <w:style w:type="paragraph" w:styleId="1220">
    <w:name w:val="纯文本1"/>
    <w:basedOn w:val="963"/>
    <w:next w:val="1220"/>
    <w:link w:val="822"/>
    <w:qFormat/>
    <w:rPr>
      <w:rFonts w:ascii="宋体" w:hAnsi="Courier New" w:eastAsia="宋体" w:cs="Times New Roman"/>
    </w:rPr>
  </w:style>
  <w:style w:type="paragraph" w:styleId="1221">
    <w:name w:val="Normal_21_0"/>
    <w:next w:val="1222"/>
    <w:link w:val="822"/>
    <w:qFormat/>
    <w:pPr>
      <w:jc w:val="both"/>
      <w:widowControl w:val="off"/>
    </w:pPr>
    <w:rPr>
      <w:sz w:val="21"/>
      <w:szCs w:val="24"/>
      <w:lang w:val="en-US" w:eastAsia="zh-CN" w:bidi="ar-SA"/>
    </w:rPr>
  </w:style>
  <w:style w:type="paragraph" w:styleId="1222">
    <w:name w:val="Heading 1_0"/>
    <w:basedOn w:val="1221"/>
    <w:next w:val="1221"/>
    <w:link w:val="822"/>
    <w:qFormat/>
    <w:pPr>
      <w:jc w:val="center"/>
      <w:keepLines/>
      <w:keepNext/>
      <w:spacing w:before="240" w:after="120" w:line="300" w:lineRule="auto"/>
      <w:outlineLvl w:val="0"/>
    </w:pPr>
    <w:rPr>
      <w:rFonts w:ascii="宋体"/>
      <w:b/>
      <w:sz w:val="32"/>
      <w:szCs w:val="20"/>
    </w:rPr>
  </w:style>
  <w:style w:type="paragraph" w:styleId="1223">
    <w:name w:val="正文_12_0_0_0_0"/>
    <w:next w:val="1223"/>
    <w:link w:val="822"/>
    <w:qFormat/>
    <w:pPr>
      <w:jc w:val="both"/>
      <w:widowControl w:val="off"/>
    </w:pPr>
    <w:rPr>
      <w:sz w:val="21"/>
      <w:szCs w:val="24"/>
      <w:lang w:val="en-US" w:eastAsia="zh-CN" w:bidi="ar-SA"/>
    </w:rPr>
  </w:style>
  <w:style w:type="character" w:styleId="1224">
    <w:name w:val="正文文本 字符"/>
    <w:next w:val="1224"/>
    <w:link w:val="822"/>
    <w:qFormat/>
    <w:rPr>
      <w:rFonts w:ascii="楷体_GB2312" w:hAnsi="Arial" w:eastAsia="楷体_GB2312" w:cs="Times New Roman"/>
      <w:sz w:val="28"/>
      <w:szCs w:val="28"/>
    </w:rPr>
  </w:style>
  <w:style w:type="character" w:styleId="1225">
    <w:name w:val="正文文本缩进 字符"/>
    <w:next w:val="1225"/>
    <w:link w:val="822"/>
    <w:qFormat/>
    <w:rPr>
      <w:rFonts w:ascii="楷体_GB2312" w:hAnsi="Times New Roman" w:eastAsia="楷体_GB2312" w:cs="Times New Roman"/>
      <w:sz w:val="32"/>
      <w:szCs w:val="32"/>
    </w:rPr>
  </w:style>
  <w:style w:type="character" w:styleId="1226">
    <w:name w:val="正文文本 字符1"/>
    <w:next w:val="1226"/>
    <w:link w:val="822"/>
    <w:qFormat/>
    <w:rPr>
      <w:rFonts w:ascii="Calibri" w:hAnsi="Calibri"/>
      <w:sz w:val="28"/>
      <w:szCs w:val="24"/>
    </w:rPr>
  </w:style>
  <w:style w:type="character" w:styleId="1227">
    <w:name w:val="正文文本首行缩进 字符"/>
    <w:next w:val="1227"/>
    <w:link w:val="822"/>
    <w:qFormat/>
    <w:rPr>
      <w:rFonts w:ascii="仿宋_GB2312" w:hAnsi="Calibri" w:eastAsia="仿宋_GB2312"/>
      <w:sz w:val="30"/>
      <w:szCs w:val="30"/>
    </w:rPr>
  </w:style>
  <w:style w:type="paragraph" w:styleId="1228">
    <w:name w:val="索引 41"/>
    <w:basedOn w:val="822"/>
    <w:next w:val="822"/>
    <w:link w:val="822"/>
    <w:semiHidden/>
    <w:qFormat/>
    <w:pPr>
      <w:ind w:left="1260"/>
    </w:pPr>
    <w:rPr>
      <w:rFonts w:eastAsia="Calibri" w:cs="宋体"/>
      <w:sz w:val="20"/>
      <w:szCs w:val="21"/>
      <w:lang w:val="zh-CN"/>
    </w:rPr>
  </w:style>
  <w:style w:type="character" w:styleId="1229">
    <w:name w:val="font5 Char"/>
    <w:next w:val="1229"/>
    <w:link w:val="822"/>
    <w:qFormat/>
    <w:rPr>
      <w:rFonts w:ascii="宋体" w:hAnsi="宋体" w:eastAsia="宋体"/>
      <w:sz w:val="28"/>
      <w:szCs w:val="28"/>
      <w:lang w:val="en-US" w:eastAsia="zh-CN" w:bidi="ar-SA"/>
    </w:rPr>
  </w:style>
  <w:style w:type="character" w:styleId="1230">
    <w:name w:val="二级目录 Char"/>
    <w:next w:val="1230"/>
    <w:link w:val="1231"/>
    <w:qFormat/>
    <w:rPr>
      <w:b/>
      <w:sz w:val="30"/>
      <w:szCs w:val="28"/>
    </w:rPr>
  </w:style>
  <w:style w:type="paragraph" w:styleId="1231">
    <w:name w:val="二级目录"/>
    <w:next w:val="822"/>
    <w:link w:val="1230"/>
    <w:qFormat/>
    <w:pPr>
      <w:numPr>
        <w:ilvl w:val="0"/>
        <w:numId w:val="1"/>
      </w:numPr>
      <w:tabs>
        <w:tab w:val="left" w:pos="907" w:leader="none"/>
        <w:tab w:val="left" w:pos="1145" w:leader="none"/>
      </w:tabs>
      <w:outlineLvl w:val="1"/>
    </w:pPr>
    <w:rPr>
      <w:b/>
      <w:sz w:val="30"/>
      <w:szCs w:val="28"/>
      <w:lang w:val="en-US" w:eastAsia="zh-CN" w:bidi="ar-SA"/>
    </w:rPr>
  </w:style>
  <w:style w:type="character" w:styleId="1232">
    <w:name w:val="列出段落 Char"/>
    <w:next w:val="1232"/>
    <w:link w:val="1233"/>
    <w:qFormat/>
    <w:rPr>
      <w:rFonts w:ascii="Calibri" w:hAnsi="Calibri"/>
      <w:sz w:val="24"/>
      <w:szCs w:val="24"/>
      <w:lang w:eastAsia="en-US" w:bidi="en-US"/>
    </w:rPr>
  </w:style>
  <w:style w:type="paragraph" w:styleId="1233">
    <w:name w:val="列出段落1"/>
    <w:basedOn w:val="822"/>
    <w:next w:val="1233"/>
    <w:link w:val="1232"/>
    <w:qFormat/>
    <w:pPr>
      <w:contextualSpacing/>
      <w:ind w:left="720"/>
      <w:jc w:val="left"/>
      <w:widowControl/>
    </w:pPr>
    <w:rPr>
      <w:sz w:val="24"/>
      <w:szCs w:val="24"/>
      <w:lang w:eastAsia="en-US" w:bidi="en-US"/>
    </w:rPr>
  </w:style>
  <w:style w:type="paragraph" w:styleId="1234">
    <w:name w:val="Body Text(ch)"/>
    <w:basedOn w:val="822"/>
    <w:next w:val="1234"/>
    <w:link w:val="822"/>
    <w:qFormat/>
    <w:pPr>
      <w:spacing w:after="120"/>
    </w:pPr>
    <w:rPr>
      <w:rFonts w:ascii="宋体" w:hAnsi="Arial"/>
      <w:bCs/>
      <w:iCs/>
      <w:szCs w:val="24"/>
    </w:rPr>
  </w:style>
  <w:style w:type="paragraph" w:styleId="1235">
    <w:name w:val="xl27"/>
    <w:basedOn w:val="822"/>
    <w:next w:val="1235"/>
    <w:link w:val="8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6">
    <w:name w:val="xl26"/>
    <w:basedOn w:val="822"/>
    <w:next w:val="1236"/>
    <w:link w:val="8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7">
    <w:name w:val="Char"/>
    <w:basedOn w:val="822"/>
    <w:next w:val="1237"/>
    <w:link w:val="822"/>
    <w:qFormat/>
    <w:pPr>
      <w:ind w:firstLine="200"/>
      <w:tabs>
        <w:tab w:val="left" w:pos="360" w:leader="none"/>
      </w:tabs>
    </w:pPr>
    <w:rPr>
      <w:rFonts w:ascii="Times New Roman" w:hAnsi="Times New Roman"/>
      <w:sz w:val="28"/>
      <w:szCs w:val="30"/>
    </w:rPr>
  </w:style>
  <w:style w:type="paragraph" w:styleId="1238">
    <w:name w:val="Char1"/>
    <w:basedOn w:val="853"/>
    <w:next w:val="1238"/>
    <w:link w:val="822"/>
    <w:qFormat/>
    <w:rPr>
      <w:rFonts w:ascii="Tahoma" w:hAnsi="Tahoma"/>
      <w:sz w:val="24"/>
      <w:szCs w:val="24"/>
    </w:rPr>
  </w:style>
  <w:style w:type="paragraph" w:styleId="1239">
    <w:name w:val="table_lines"/>
    <w:basedOn w:val="822"/>
    <w:next w:val="1239"/>
    <w:link w:val="822"/>
    <w:qFormat/>
    <w:pPr>
      <w:jc w:val="left"/>
      <w:widowControl/>
    </w:pPr>
    <w:rPr>
      <w:rFonts w:ascii="Times New Roman" w:hAnsi="Times New Roman"/>
      <w:sz w:val="20"/>
      <w:szCs w:val="20"/>
      <w:lang w:val="de-DE" w:eastAsia="de-DE"/>
    </w:rPr>
  </w:style>
  <w:style w:type="paragraph" w:styleId="1240">
    <w:name w:val="附录1"/>
    <w:next w:val="1240"/>
    <w:link w:val="822"/>
    <w:qFormat/>
    <w:pPr>
      <w:spacing w:before="240" w:line="600" w:lineRule="atLeast"/>
      <w:tabs>
        <w:tab w:val="left" w:pos="907" w:leader="none"/>
      </w:tabs>
    </w:pPr>
    <w:rPr>
      <w:b/>
      <w:i/>
      <w:sz w:val="28"/>
      <w:lang w:val="en-US" w:eastAsia="zh-CN" w:bidi="ar-SA"/>
    </w:rPr>
  </w:style>
  <w:style w:type="paragraph" w:styleId="1241">
    <w:name w:val="font7"/>
    <w:basedOn w:val="822"/>
    <w:next w:val="1241"/>
    <w:link w:val="822"/>
    <w:qFormat/>
    <w:pPr>
      <w:jc w:val="left"/>
      <w:spacing w:before="100" w:beforeAutospacing="1" w:after="100" w:afterAutospacing="1"/>
      <w:widowControl/>
    </w:pPr>
    <w:rPr>
      <w:rFonts w:hint="eastAsia" w:ascii="宋体" w:hAnsi="宋体"/>
      <w:sz w:val="18"/>
      <w:szCs w:val="18"/>
    </w:rPr>
  </w:style>
  <w:style w:type="paragraph" w:styleId="1242">
    <w:name w:val="Char Char Char Char"/>
    <w:basedOn w:val="853"/>
    <w:next w:val="1242"/>
    <w:link w:val="822"/>
    <w:qFormat/>
    <w:pPr>
      <w:spacing w:line="360" w:lineRule="auto"/>
    </w:pPr>
    <w:rPr>
      <w:rFonts w:ascii="Tahoma" w:hAnsi="Tahoma"/>
      <w:sz w:val="24"/>
      <w:szCs w:val="24"/>
    </w:rPr>
  </w:style>
  <w:style w:type="paragraph" w:styleId="1243">
    <w:name w:val="4"/>
    <w:basedOn w:val="822"/>
    <w:next w:val="888"/>
    <w:link w:val="822"/>
    <w:qFormat/>
    <w:pPr>
      <w:ind w:firstLine="420"/>
      <w:spacing w:line="360" w:lineRule="auto"/>
    </w:pPr>
    <w:rPr>
      <w:rFonts w:ascii="Times New Roman" w:hAnsi="Times New Roman"/>
      <w:color w:val="ff0000"/>
      <w:sz w:val="24"/>
      <w:szCs w:val="24"/>
    </w:rPr>
  </w:style>
  <w:style w:type="paragraph" w:styleId="1244">
    <w:name w:val="普通 (Web)"/>
    <w:basedOn w:val="822"/>
    <w:next w:val="1244"/>
    <w:link w:val="822"/>
    <w:qFormat/>
    <w:pPr>
      <w:jc w:val="left"/>
      <w:spacing w:before="100" w:beforeAutospacing="1" w:after="100" w:afterAutospacing="1"/>
      <w:widowControl/>
    </w:pPr>
    <w:rPr>
      <w:rFonts w:ascii="宋体" w:hAnsi="宋体"/>
      <w:sz w:val="24"/>
      <w:szCs w:val="24"/>
    </w:rPr>
  </w:style>
  <w:style w:type="paragraph" w:styleId="1245">
    <w:name w:val="Char Char Char Char Char Char Char Char Char Char"/>
    <w:basedOn w:val="822"/>
    <w:next w:val="1245"/>
    <w:link w:val="822"/>
    <w:qFormat/>
    <w:pPr>
      <w:spacing w:line="360" w:lineRule="auto"/>
    </w:pPr>
    <w:rPr>
      <w:rFonts w:ascii="Times New Roman" w:hAnsi="Times New Roman"/>
      <w:sz w:val="24"/>
      <w:szCs w:val="20"/>
    </w:rPr>
  </w:style>
  <w:style w:type="paragraph" w:styleId="1246">
    <w:name w:val="样式1"/>
    <w:basedOn w:val="822"/>
    <w:next w:val="1246"/>
    <w:link w:val="822"/>
    <w:qFormat/>
    <w:pPr>
      <w:numPr>
        <w:ilvl w:val="0"/>
        <w:numId w:val="2"/>
      </w:numPr>
      <w:tabs>
        <w:tab w:val="left" w:pos="709" w:leader="none"/>
      </w:tabs>
    </w:pPr>
    <w:rPr>
      <w:rFonts w:ascii="宋体" w:hAnsi="宋体"/>
      <w:szCs w:val="21"/>
    </w:rPr>
  </w:style>
  <w:style w:type="paragraph" w:styleId="1247">
    <w:name w:val="font6"/>
    <w:basedOn w:val="822"/>
    <w:next w:val="1247"/>
    <w:link w:val="822"/>
    <w:qFormat/>
    <w:pPr>
      <w:jc w:val="left"/>
      <w:spacing w:before="100" w:beforeAutospacing="1" w:after="100" w:afterAutospacing="1"/>
      <w:widowControl/>
    </w:pPr>
    <w:rPr>
      <w:rFonts w:hint="eastAsia" w:ascii="宋体" w:hAnsi="宋体"/>
      <w:sz w:val="28"/>
      <w:szCs w:val="28"/>
      <w:u w:val="single"/>
    </w:rPr>
  </w:style>
  <w:style w:type="paragraph" w:styleId="1248">
    <w:name w:val="xl25"/>
    <w:basedOn w:val="822"/>
    <w:next w:val="1248"/>
    <w:link w:val="82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9">
    <w:name w:val="图标"/>
    <w:basedOn w:val="822"/>
    <w:next w:val="822"/>
    <w:link w:val="82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0">
    <w:name w:val="标题3"/>
    <w:basedOn w:val="822"/>
    <w:next w:val="822"/>
    <w:link w:val="822"/>
    <w:qFormat/>
    <w:pPr>
      <w:ind w:firstLine="624"/>
      <w:spacing w:line="590" w:lineRule="atLeast"/>
    </w:pPr>
    <w:rPr>
      <w:rFonts w:ascii="方正黑体_GBK" w:hAnsi="Times New Roman" w:eastAsia="方正黑体_GBK"/>
      <w:sz w:val="32"/>
      <w:szCs w:val="32"/>
    </w:rPr>
  </w:style>
  <w:style w:type="paragraph" w:styleId="1251">
    <w:name w:val="xl24"/>
    <w:basedOn w:val="822"/>
    <w:next w:val="1251"/>
    <w:link w:val="8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2">
    <w:name w:val="xl29"/>
    <w:basedOn w:val="822"/>
    <w:next w:val="1252"/>
    <w:link w:val="82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3">
    <w:name w:val="Char Char Char Char Char Char Char Char"/>
    <w:basedOn w:val="822"/>
    <w:next w:val="1253"/>
    <w:link w:val="822"/>
    <w:qFormat/>
    <w:pPr>
      <w:jc w:val="left"/>
      <w:spacing w:after="160" w:line="240" w:lineRule="exact"/>
      <w:widowControl/>
    </w:pPr>
    <w:rPr>
      <w:rFonts w:ascii="Verdana" w:hAnsi="Verdana"/>
      <w:sz w:val="20"/>
      <w:szCs w:val="20"/>
      <w:lang w:eastAsia="en-US"/>
    </w:rPr>
  </w:style>
  <w:style w:type="paragraph" w:styleId="1254">
    <w:name w:val="xl28"/>
    <w:basedOn w:val="822"/>
    <w:next w:val="1254"/>
    <w:link w:val="82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5">
    <w:name w:val="Char Char Char Char Char Char Char Char1"/>
    <w:basedOn w:val="822"/>
    <w:next w:val="1255"/>
    <w:link w:val="822"/>
    <w:qFormat/>
    <w:pPr>
      <w:jc w:val="left"/>
      <w:spacing w:after="160" w:line="240" w:lineRule="exact"/>
      <w:widowControl/>
    </w:pPr>
    <w:rPr>
      <w:rFonts w:ascii="Verdana" w:hAnsi="Verdana"/>
      <w:sz w:val="20"/>
      <w:szCs w:val="20"/>
      <w:lang w:eastAsia="en-US"/>
    </w:rPr>
  </w:style>
  <w:style w:type="paragraph" w:styleId="1256">
    <w:name w:val="xl30"/>
    <w:basedOn w:val="822"/>
    <w:next w:val="1256"/>
    <w:link w:val="822"/>
    <w:qFormat/>
    <w:pPr>
      <w:jc w:val="center"/>
      <w:spacing w:before="100" w:beforeAutospacing="1" w:after="100" w:afterAutospacing="1"/>
      <w:widowControl/>
    </w:pPr>
    <w:rPr>
      <w:rFonts w:ascii="宋体" w:hAnsi="宋体"/>
      <w:b/>
      <w:bCs/>
      <w:sz w:val="36"/>
      <w:szCs w:val="36"/>
    </w:rPr>
  </w:style>
  <w:style w:type="paragraph" w:styleId="1257">
    <w:name w:val="Char Char Char Char1"/>
    <w:basedOn w:val="853"/>
    <w:next w:val="1257"/>
    <w:link w:val="822"/>
    <w:qFormat/>
    <w:pPr>
      <w:spacing w:line="360" w:lineRule="auto"/>
    </w:pPr>
    <w:rPr>
      <w:rFonts w:ascii="Tahoma" w:hAnsi="Tahoma"/>
      <w:sz w:val="24"/>
      <w:szCs w:val="24"/>
    </w:rPr>
  </w:style>
  <w:style w:type="paragraph" w:styleId="1258">
    <w:name w:val="table_1stline"/>
    <w:basedOn w:val="822"/>
    <w:next w:val="1258"/>
    <w:link w:val="822"/>
    <w:qFormat/>
    <w:pPr>
      <w:jc w:val="left"/>
      <w:spacing w:before="120"/>
      <w:widowControl/>
    </w:pPr>
    <w:rPr>
      <w:rFonts w:ascii="Times New Roman" w:hAnsi="Times New Roman"/>
      <w:bCs/>
      <w:sz w:val="20"/>
      <w:szCs w:val="20"/>
      <w:lang w:val="de-DE" w:eastAsia="de-DE"/>
    </w:rPr>
  </w:style>
  <w:style w:type="paragraph" w:styleId="1259">
    <w:name w:val="font5"/>
    <w:basedOn w:val="822"/>
    <w:next w:val="1259"/>
    <w:link w:val="822"/>
    <w:qFormat/>
    <w:pPr>
      <w:jc w:val="left"/>
      <w:spacing w:before="100" w:beforeAutospacing="1" w:after="100" w:afterAutospacing="1"/>
      <w:widowControl/>
    </w:pPr>
    <w:rPr>
      <w:rFonts w:hint="eastAsia" w:ascii="宋体" w:hAnsi="宋体"/>
      <w:sz w:val="28"/>
      <w:szCs w:val="28"/>
    </w:rPr>
  </w:style>
  <w:style w:type="paragraph" w:styleId="1260">
    <w:name w:val="标题1"/>
    <w:basedOn w:val="822"/>
    <w:next w:val="822"/>
    <w:link w:val="82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1">
    <w:name w:val="修订1"/>
    <w:next w:val="1261"/>
    <w:link w:val="822"/>
    <w:uiPriority w:val="99"/>
    <w:semiHidden/>
    <w:qFormat/>
    <w:rPr>
      <w:sz w:val="21"/>
      <w:szCs w:val="21"/>
      <w:lang w:val="en-US" w:eastAsia="zh-CN" w:bidi="ar-SA"/>
    </w:rPr>
  </w:style>
  <w:style w:type="table" w:styleId="1262">
    <w:name w:val="Table Normal"/>
    <w:next w:val="1262"/>
    <w:link w:val="822"/>
    <w:qFormat/>
    <w:rPr>
      <w:lang w:val="en-US" w:eastAsia="zh-CN" w:bidi="ar-SA"/>
    </w:rPr>
    <w:tblPr/>
  </w:style>
  <w:style w:type="paragraph" w:styleId="1263">
    <w:name w:val="正文文本12"/>
    <w:basedOn w:val="822"/>
    <w:next w:val="1263"/>
    <w:link w:val="822"/>
    <w:uiPriority w:val="1"/>
    <w:qFormat/>
    <w:pPr>
      <w:ind w:left="120"/>
    </w:pPr>
    <w:rPr>
      <w:rFonts w:ascii="宋体" w:hAnsi="宋体" w:cs="宋体"/>
      <w:szCs w:val="21"/>
      <w:lang w:val="zh-CN" w:bidi="zh-CN"/>
    </w:rPr>
  </w:style>
  <w:style w:type="paragraph" w:styleId="1264">
    <w:name w:val="首行缩进"/>
    <w:basedOn w:val="822"/>
    <w:next w:val="1264"/>
    <w:link w:val="822"/>
    <w:qFormat/>
    <w:pPr>
      <w:ind w:firstLine="480"/>
    </w:pPr>
    <w:rPr>
      <w:rFonts w:ascii="Times New Roman" w:hAnsi="Times New Roman"/>
      <w:szCs w:val="21"/>
      <w:lang w:val="zh-CN"/>
    </w:rPr>
  </w:style>
  <w:style w:type="paragraph" w:styleId="1265">
    <w:name w:val="部分1"/>
    <w:basedOn w:val="822"/>
    <w:next w:val="1265"/>
    <w:link w:val="822"/>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6">
    <w:name w:val="15"/>
    <w:next w:val="1266"/>
    <w:link w:val="822"/>
    <w:qFormat/>
    <w:rPr>
      <w:rFonts w:ascii="Times New Roman" w:hAnsi="Times New Roman" w:cs="Times New Roman"/>
    </w:rPr>
  </w:style>
  <w:style w:type="paragraph" w:styleId="1267">
    <w:name w:val="正文文本缩进 2_0"/>
    <w:basedOn w:val="1102"/>
    <w:next w:val="1267"/>
    <w:link w:val="822"/>
    <w:qFormat/>
    <w:pPr>
      <w:ind w:firstLine="720"/>
      <w:jc w:val="left"/>
      <w:spacing w:line="540" w:lineRule="exact"/>
    </w:pPr>
    <w:rPr>
      <w:rFonts w:ascii="仿宋_GB2312" w:hAnsi="仿宋_GB2312" w:cs="宋体"/>
      <w:sz w:val="32"/>
      <w:szCs w:val="32"/>
    </w:rPr>
  </w:style>
  <w:style w:type="character" w:styleId="1268">
    <w:name w:val="10"/>
    <w:next w:val="1268"/>
    <w:link w:val="822"/>
    <w:qFormat/>
    <w:rPr>
      <w:rFonts w:ascii="Times New Roman" w:hAnsi="Times New Roman" w:cs="Times New Roman"/>
    </w:rPr>
  </w:style>
  <w:style w:type="paragraph" w:styleId="1269">
    <w:name w:val="正文_16_1"/>
    <w:basedOn w:val="822"/>
    <w:next w:val="1269"/>
    <w:link w:val="822"/>
    <w:qFormat/>
    <w:rPr>
      <w:rFonts w:ascii="Times New Roman" w:hAnsi="Times New Roman"/>
      <w:szCs w:val="21"/>
    </w:rPr>
  </w:style>
  <w:style w:type="paragraph" w:styleId="1270">
    <w:name w:val="页脚1"/>
    <w:basedOn w:val="822"/>
    <w:next w:val="1270"/>
    <w:link w:val="822"/>
    <w:qFormat/>
    <w:pPr>
      <w:jc w:val="left"/>
      <w:tabs>
        <w:tab w:val="center" w:pos="4153" w:leader="none"/>
        <w:tab w:val="right" w:pos="8306" w:leader="none"/>
      </w:tabs>
    </w:pPr>
    <w:rPr>
      <w:sz w:val="18"/>
      <w:szCs w:val="18"/>
    </w:rPr>
  </w:style>
  <w:style w:type="character" w:styleId="1271">
    <w:name w:val="页码1"/>
    <w:next w:val="1271"/>
    <w:link w:val="822"/>
    <w:qFormat/>
  </w:style>
  <w:style w:type="paragraph" w:styleId="1272">
    <w:name w:val="*正文"/>
    <w:basedOn w:val="836"/>
    <w:next w:val="1272"/>
    <w:link w:val="822"/>
    <w:qFormat/>
    <w:pPr>
      <w:ind w:firstLine="200"/>
    </w:pPr>
    <w:rPr>
      <w:rFonts w:ascii="宋体" w:hAnsi="宋体"/>
      <w:color w:val="000000"/>
      <w:sz w:val="24"/>
      <w:szCs w:val="24"/>
    </w:rPr>
  </w:style>
  <w:style w:type="paragraph" w:styleId="1273">
    <w:name w:val="*正文_0"/>
    <w:basedOn w:val="1274"/>
    <w:next w:val="1273"/>
    <w:link w:val="822"/>
    <w:qFormat/>
    <w:pPr>
      <w:ind w:firstLine="200"/>
      <w:spacing w:line="360" w:lineRule="auto"/>
    </w:pPr>
    <w:rPr>
      <w:rFonts w:ascii="宋体" w:hAnsi="宋体" w:eastAsia="Arial" w:cs="Arial"/>
      <w:color w:val="000000"/>
      <w:sz w:val="24"/>
    </w:rPr>
  </w:style>
  <w:style w:type="paragraph" w:styleId="1274">
    <w:name w:val="正文缩进_2"/>
    <w:basedOn w:val="1126"/>
    <w:next w:val="1274"/>
    <w:link w:val="822"/>
    <w:unhideWhenUsed/>
    <w:qFormat/>
    <w:pPr>
      <w:ind w:firstLine="420"/>
      <w:jc w:val="left"/>
      <w:widowControl/>
    </w:pPr>
    <w:rPr>
      <w:rFonts w:ascii="Times New Roman" w:hAnsi="Times New Roman"/>
      <w:sz w:val="20"/>
      <w:szCs w:val="24"/>
    </w:rPr>
  </w:style>
  <w:style w:type="paragraph" w:styleId="1275">
    <w:name w:val="*正文_0_0"/>
    <w:basedOn w:val="1126"/>
    <w:next w:val="1275"/>
    <w:link w:val="822"/>
    <w:qFormat/>
    <w:pPr>
      <w:ind w:firstLine="200"/>
      <w:jc w:val="left"/>
      <w:spacing w:line="360" w:lineRule="auto"/>
      <w:widowControl/>
    </w:pPr>
    <w:rPr>
      <w:rFonts w:ascii="宋体" w:hAnsi="宋体" w:eastAsia="Arial" w:cs="Arial"/>
      <w:color w:val="000000"/>
      <w:sz w:val="24"/>
      <w:szCs w:val="24"/>
    </w:rPr>
  </w:style>
  <w:style w:type="paragraph" w:styleId="1276">
    <w:name w:val="无间隔1_0_0"/>
    <w:basedOn w:val="1126"/>
    <w:next w:val="1276"/>
    <w:link w:val="822"/>
    <w:qFormat/>
    <w:rPr>
      <w:rFonts w:ascii="Times New Roman" w:hAnsi="Times New Roman"/>
      <w:szCs w:val="21"/>
    </w:rPr>
  </w:style>
  <w:style w:type="paragraph" w:styleId="1277">
    <w:name w:val="正文_0_2"/>
    <w:next w:val="1277"/>
    <w:link w:val="822"/>
    <w:qFormat/>
    <w:pPr>
      <w:jc w:val="both"/>
      <w:widowControl w:val="off"/>
    </w:pPr>
    <w:rPr>
      <w:szCs w:val="24"/>
      <w:lang w:val="en-US" w:eastAsia="zh-CN" w:bidi="ar-SA"/>
    </w:rPr>
  </w:style>
  <w:style w:type="paragraph" w:styleId="1278">
    <w:name w:val="标题 4_0"/>
    <w:basedOn w:val="1279"/>
    <w:next w:val="1279"/>
    <w:link w:val="822"/>
    <w:uiPriority w:val="9"/>
    <w:unhideWhenUsed/>
    <w:qFormat/>
    <w:pPr>
      <w:keepLines/>
      <w:keepNext/>
      <w:spacing w:before="280" w:after="290" w:line="372" w:lineRule="auto"/>
      <w:outlineLvl w:val="3"/>
    </w:pPr>
    <w:rPr>
      <w:rFonts w:ascii="Arial" w:hAnsi="Arial" w:eastAsia="黑体"/>
      <w:b/>
      <w:sz w:val="28"/>
    </w:rPr>
  </w:style>
  <w:style w:type="paragraph" w:styleId="1279">
    <w:name w:val="正文4"/>
    <w:next w:val="1279"/>
    <w:link w:val="822"/>
    <w:qFormat/>
    <w:pPr>
      <w:jc w:val="both"/>
      <w:widowControl w:val="off"/>
    </w:pPr>
    <w:rPr>
      <w:rFonts w:ascii="Calibri" w:hAnsi="Calibri"/>
      <w:lang w:val="en-US" w:eastAsia="zh-CN" w:bidi="ar-SA"/>
    </w:rPr>
  </w:style>
  <w:style w:type="paragraph" w:styleId="1280">
    <w:name w:val="正文_3_0_0"/>
    <w:next w:val="1280"/>
    <w:link w:val="822"/>
    <w:qFormat/>
    <w:pPr>
      <w:jc w:val="both"/>
      <w:widowControl w:val="off"/>
    </w:pPr>
    <w:rPr>
      <w:lang w:val="en-US" w:eastAsia="zh-CN" w:bidi="ar-SA"/>
    </w:rPr>
  </w:style>
  <w:style w:type="paragraph" w:styleId="1281">
    <w:name w:val="p17_0_0"/>
    <w:basedOn w:val="1169"/>
    <w:next w:val="1281"/>
    <w:link w:val="822"/>
    <w:qFormat/>
    <w:pPr>
      <w:jc w:val="left"/>
      <w:spacing w:before="100" w:beforeAutospacing="1" w:after="100" w:afterAutospacing="1"/>
      <w:widowControl/>
    </w:pPr>
    <w:rPr>
      <w:rFonts w:ascii="宋体" w:hAnsi="宋体" w:eastAsia="Times New Roman" w:cs="宋体"/>
      <w:sz w:val="24"/>
      <w:szCs w:val="24"/>
    </w:rPr>
  </w:style>
  <w:style w:type="paragraph" w:styleId="1282">
    <w:name w:val="p17_0"/>
    <w:basedOn w:val="840"/>
    <w:next w:val="1282"/>
    <w:link w:val="822"/>
    <w:qFormat/>
    <w:pPr>
      <w:jc w:val="left"/>
      <w:spacing w:before="100" w:beforeAutospacing="1" w:after="100" w:afterAutospacing="1"/>
      <w:widowControl/>
    </w:pPr>
    <w:rPr>
      <w:rFonts w:ascii="宋体" w:hAnsi="宋体" w:eastAsia="Times New Roman" w:cs="宋体"/>
      <w:sz w:val="24"/>
      <w:szCs w:val="24"/>
    </w:rPr>
  </w:style>
  <w:style w:type="paragraph" w:styleId="1283">
    <w:name w:val="普通(网站)11"/>
    <w:basedOn w:val="822"/>
    <w:next w:val="1283"/>
    <w:link w:val="822"/>
    <w:uiPriority w:val="99"/>
    <w:qFormat/>
    <w:rPr>
      <w:sz w:val="24"/>
    </w:rPr>
  </w:style>
  <w:style w:type="paragraph" w:styleId="1284">
    <w:name w:val="AONormal"/>
    <w:next w:val="1284"/>
    <w:link w:val="822"/>
    <w:qFormat/>
    <w:pPr>
      <w:ind w:firstLine="440"/>
      <w:spacing w:line="400" w:lineRule="exact"/>
    </w:pPr>
    <w:rPr>
      <w:rFonts w:ascii="华文楷体" w:hAnsi="华文楷体" w:eastAsia="华文楷体" w:cs="华文楷体"/>
      <w:sz w:val="22"/>
      <w:szCs w:val="21"/>
      <w:lang w:val="en-US" w:eastAsia="zh-CN" w:bidi="ar-SA"/>
    </w:rPr>
  </w:style>
  <w:style w:type="paragraph" w:styleId="1285">
    <w:name w:val="Table Text"/>
    <w:basedOn w:val="822"/>
    <w:next w:val="1285"/>
    <w:link w:val="822"/>
    <w:semiHidden/>
    <w:qFormat/>
    <w:rPr>
      <w:rFonts w:ascii="仿宋" w:hAnsi="仿宋" w:eastAsia="仿宋" w:cs="仿宋"/>
      <w:sz w:val="24"/>
      <w:szCs w:val="24"/>
      <w:lang w:val="en-US" w:eastAsia="en-US" w:bidi="ar-SA"/>
    </w:rPr>
  </w:style>
  <w:style w:type="character" w:styleId="1286" w:default="1">
    <w:name w:val="Default Paragraph Font"/>
    <w:uiPriority w:val="1"/>
    <w:semiHidden/>
    <w:unhideWhenUsed/>
  </w:style>
  <w:style w:type="numbering" w:styleId="1287" w:default="1">
    <w:name w:val="No List"/>
    <w:uiPriority w:val="99"/>
    <w:semiHidden/>
    <w:unhideWhenUsed/>
  </w:style>
  <w:style w:type="table" w:styleId="12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罗浩林</cp:lastModifiedBy>
  <cp:revision>3</cp:revision>
  <dcterms:created xsi:type="dcterms:W3CDTF">2023-07-23T13:07:00Z</dcterms:created>
  <dcterms:modified xsi:type="dcterms:W3CDTF">2026-08-07T09:43:53Z</dcterms:modified>
</cp:coreProperties>
</file>